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330"/>
        <w:gridCol w:w="6184"/>
      </w:tblGrid>
      <w:tr>
        <w:tc>
          <w:tcPr>
            <w:tcW w:type="dxa" w:w="3330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77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916940</wp:posOffset>
            </wp:positionH>
            <wp:positionV relativeFrom="page">
              <wp:posOffset>3197860</wp:posOffset>
            </wp:positionV>
            <wp:extent cx="1993900" cy="1118417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118417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916940</wp:posOffset>
            </wp:positionH>
            <wp:positionV relativeFrom="page">
              <wp:posOffset>4646930</wp:posOffset>
            </wp:positionV>
            <wp:extent cx="5956300" cy="2122675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212267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240" w:lineRule="auto" w:before="0" w:after="0"/>
        <w:ind w:left="0" w:right="3308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183130" cy="16141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3130" cy="1614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autoSpaceDE w:val="0"/>
        <w:autoSpaceDN w:val="0"/>
        <w:spacing w:line="234" w:lineRule="exact" w:before="516" w:after="0"/>
        <w:ind w:left="6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Today’s Date </w:t>
      </w:r>
    </w:p>
    <w:p>
      <w:pPr>
        <w:widowControl/>
        <w:autoSpaceDE w:val="0"/>
        <w:autoSpaceDN w:val="0"/>
        <w:spacing w:line="252" w:lineRule="exact" w:before="258" w:after="0"/>
        <w:ind w:left="6" w:right="6336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Doug Liljegren </w:t>
      </w:r>
      <w:r>
        <w:br/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Principal </w:t>
      </w:r>
      <w:r>
        <w:br/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NeuNet Technologies LLC </w:t>
      </w:r>
      <w:r>
        <w:br/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9218 Metcalf Avenue, Suite 210 </w:t>
      </w:r>
      <w:r>
        <w:br/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Overland Park, KS 66212 </w:t>
      </w:r>
    </w:p>
    <w:p>
      <w:pPr>
        <w:widowControl/>
        <w:autoSpaceDE w:val="0"/>
        <w:autoSpaceDN w:val="0"/>
        <w:spacing w:line="312" w:lineRule="exact" w:before="522" w:after="0"/>
        <w:ind w:left="0" w:right="0" w:firstLine="0"/>
        <w:jc w:val="center"/>
      </w:pPr>
      <w:r>
        <w:rPr>
          <w:rFonts w:ascii="Arial" w:hAnsi="Arial" w:eastAsia="Arial"/>
          <w:b/>
          <w:i w:val="0"/>
          <w:color w:val="000000"/>
          <w:sz w:val="28"/>
        </w:rPr>
        <w:t xml:space="preserve">Contingency SERVICE AGREEMENT </w:t>
      </w:r>
    </w:p>
    <w:p>
      <w:pPr>
        <w:widowControl/>
        <w:autoSpaceDE w:val="0"/>
        <w:autoSpaceDN w:val="0"/>
        <w:spacing w:line="254" w:lineRule="exact" w:before="248" w:after="0"/>
        <w:ind w:left="6" w:right="86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We are pleased to confirm the terms of our engagement to recruit candidates for NeuNet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Technologies. NeuNet Technologies will provide a detailed “Description of Position” which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describes the specific duties of each of the positions required and the material qualifications,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which the successful candidate should have. </w:t>
      </w:r>
    </w:p>
    <w:p>
      <w:pPr>
        <w:widowControl/>
        <w:autoSpaceDE w:val="0"/>
        <w:autoSpaceDN w:val="0"/>
        <w:spacing w:line="234" w:lineRule="exact" w:before="266" w:after="0"/>
        <w:ind w:left="6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  <w:u w:val="single"/>
        </w:rPr>
        <w:t>Service Fee Agreement: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 </w:t>
      </w:r>
    </w:p>
    <w:p>
      <w:pPr>
        <w:widowControl/>
        <w:autoSpaceDE w:val="0"/>
        <w:autoSpaceDN w:val="0"/>
        <w:spacing w:line="254" w:lineRule="exact" w:before="256" w:after="0"/>
        <w:ind w:left="6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Our service fees are on a contingency basis. The fee will be invoiced upon acceptance of the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employment offer by the candidate. </w:t>
      </w:r>
    </w:p>
    <w:p>
      <w:pPr>
        <w:widowControl/>
        <w:autoSpaceDE w:val="0"/>
        <w:autoSpaceDN w:val="0"/>
        <w:spacing w:line="236" w:lineRule="exact" w:before="268" w:after="0"/>
        <w:ind w:left="726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Service fee is equal to 25% of the candidate’s first year salary. </w:t>
      </w:r>
    </w:p>
    <w:p>
      <w:pPr>
        <w:widowControl/>
        <w:autoSpaceDE w:val="0"/>
        <w:autoSpaceDN w:val="0"/>
        <w:spacing w:line="252" w:lineRule="exact" w:before="0" w:after="0"/>
        <w:ind w:left="2" w:right="144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Our service fee will be invoiced upon acceptance, payment terms of Net 10 from candidate start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date. </w:t>
      </w:r>
      <w:r>
        <w:rPr>
          <w:rFonts w:ascii="Arial" w:hAnsi="Arial" w:eastAsia="Arial"/>
          <w:b/>
          <w:i w:val="0"/>
          <w:color w:val="000000"/>
          <w:sz w:val="21"/>
        </w:rPr>
        <w:t xml:space="preserve">Our guarantee is valid only if we receive payment of our service fee, in full, within 10 </w:t>
      </w:r>
      <w:r>
        <w:rPr>
          <w:rFonts w:ascii="Arial" w:hAnsi="Arial" w:eastAsia="Arial"/>
          <w:b/>
          <w:i w:val="0"/>
          <w:color w:val="000000"/>
          <w:sz w:val="21"/>
        </w:rPr>
        <w:t xml:space="preserve">days from the candidate’s start date.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Service Fees will be subject to Ohio Sales Tax if </w:t>
      </w:r>
      <w:r>
        <w:br/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applicable. </w:t>
      </w:r>
    </w:p>
    <w:p>
      <w:pPr>
        <w:widowControl/>
        <w:autoSpaceDE w:val="0"/>
        <w:autoSpaceDN w:val="0"/>
        <w:spacing w:line="254" w:lineRule="exact" w:before="176" w:after="0"/>
        <w:ind w:left="2" w:right="86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If the service relationship between you and the candidate is terminated for any reason before the </w:t>
      </w:r>
      <w:r>
        <w:rPr>
          <w:rFonts w:ascii="ArialMT" w:hAnsi="ArialMT" w:eastAsia="ArialMT"/>
          <w:b w:val="0"/>
          <w:i w:val="0"/>
          <w:color w:val="000000"/>
          <w:sz w:val="21"/>
        </w:rPr>
        <w:t>30</w:t>
      </w:r>
      <w:r>
        <w:rPr>
          <w:rFonts w:ascii="ArialMT" w:hAnsi="ArialMT" w:eastAsia="ArialMT"/>
          <w:b w:val="0"/>
          <w:i w:val="0"/>
          <w:color w:val="000000"/>
          <w:sz w:val="14"/>
        </w:rPr>
        <w:t>th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 calendar day after its start, we will replace the candidate, provided that you notify us within 5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business days after its termination. This guarantee is not applicable if the service relationship is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terminated because the position is eliminated or because you have insufficient work for the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candidate. This guarantee is to allow you to satisfy yourself that the candidate has the requisite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experience and qualifications, and that information provided by the candidate and other sources,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directly or through us, is accurate. </w:t>
      </w:r>
    </w:p>
    <w:p>
      <w:pPr>
        <w:widowControl/>
        <w:autoSpaceDE w:val="0"/>
        <w:autoSpaceDN w:val="0"/>
        <w:spacing w:line="216" w:lineRule="auto" w:before="630" w:after="0"/>
        <w:ind w:left="0" w:right="20" w:firstLine="0"/>
        <w:jc w:val="right"/>
      </w:pPr>
      <w:r>
        <w:rPr>
          <w:rFonts w:ascii="Courier New" w:hAnsi="Courier New" w:eastAsia="Courier New"/>
          <w:b w:val="0"/>
          <w:i w:val="0"/>
          <w:color w:val="000000"/>
          <w:sz w:val="24"/>
        </w:rPr>
        <w:t xml:space="preserve">Page 1/2 </w:t>
      </w:r>
    </w:p>
    <w:p>
      <w:pPr>
        <w:sectPr>
          <w:headerReference w:type="default" r:id="rId12"/>
          <w:headerReference w:type="first" r:id="rId17"/>
          <w:footerReference w:type="default" r:id="rId13"/>
          <w:pgSz w:w="12240" w:h="15840"/>
          <w:pgMar w:top="1720" w:right="1286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634"/>
        <w:ind w:left="0" w:right="0"/>
      </w:pPr>
    </w:p>
    <w:p>
      <w:pPr>
        <w:widowControl/>
        <w:autoSpaceDE w:val="0"/>
        <w:autoSpaceDN w:val="0"/>
        <w:spacing w:line="250" w:lineRule="exact" w:before="0" w:after="0"/>
        <w:ind w:left="2" w:right="86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Your acceptance of referrals from us shall be conclusive evidence of your acceptance of our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schedule of charges, terms and conditions, unless we have signed a written modification. If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collection activities are necessary, you agree to pay all expenses thereof, including reasonable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attorney's fees. You consent to the jurisdiction of the courts of the State of Ohio and agree that its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laws shall govern our relationship. </w:t>
      </w:r>
    </w:p>
    <w:p>
      <w:pPr>
        <w:widowControl/>
        <w:autoSpaceDE w:val="0"/>
        <w:autoSpaceDN w:val="0"/>
        <w:spacing w:line="250" w:lineRule="exact" w:before="250" w:after="0"/>
        <w:ind w:left="2" w:right="86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Candidates are referred to you in confidence. Should you refer or identify such a candidate to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another company which enters into a service relationship with the Candidate, both companies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shall be responsible for the payment of the service fee. </w:t>
      </w:r>
    </w:p>
    <w:p>
      <w:pPr>
        <w:widowControl/>
        <w:autoSpaceDE w:val="0"/>
        <w:autoSpaceDN w:val="0"/>
        <w:spacing w:line="254" w:lineRule="exact" w:before="254" w:after="0"/>
        <w:ind w:left="2" w:right="86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1"/>
        </w:rPr>
        <w:t>The following definitions are applicable to this Agreement: "</w:t>
      </w:r>
      <w:r>
        <w:rPr>
          <w:rFonts w:ascii="Arial" w:hAnsi="Arial" w:eastAsia="Arial"/>
          <w:b/>
          <w:i w:val="0"/>
          <w:color w:val="000000"/>
          <w:sz w:val="21"/>
        </w:rPr>
        <w:t>Candidate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" means a person referred </w:t>
      </w:r>
      <w:r>
        <w:rPr>
          <w:rFonts w:ascii="ArialMT" w:hAnsi="ArialMT" w:eastAsia="ArialMT"/>
          <w:b w:val="0"/>
          <w:i w:val="0"/>
          <w:color w:val="000000"/>
          <w:sz w:val="21"/>
        </w:rPr>
        <w:t>to you by us, directly or indirectly. "</w:t>
      </w:r>
      <w:r>
        <w:rPr>
          <w:rFonts w:ascii="Arial" w:hAnsi="Arial" w:eastAsia="Arial"/>
          <w:b/>
          <w:i w:val="0"/>
          <w:color w:val="000000"/>
          <w:sz w:val="21"/>
        </w:rPr>
        <w:t>Refer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" means the disclosure by us of the identity of a </w:t>
      </w:r>
      <w:r>
        <w:rPr>
          <w:rFonts w:ascii="ArialMT" w:hAnsi="ArialMT" w:eastAsia="ArialMT"/>
          <w:b w:val="0"/>
          <w:i w:val="0"/>
          <w:color w:val="000000"/>
          <w:sz w:val="21"/>
        </w:rPr>
        <w:t>candidate by any means, orally or in writing. "</w:t>
      </w:r>
      <w:r>
        <w:rPr>
          <w:rFonts w:ascii="Arial" w:hAnsi="Arial" w:eastAsia="Arial"/>
          <w:b/>
          <w:i w:val="0"/>
          <w:color w:val="000000"/>
          <w:sz w:val="21"/>
        </w:rPr>
        <w:t>Service relationship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" means your engagement of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the services of the candidate in any capacity, including as an employee, independent contractor, </w:t>
      </w: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consultant, or other representative. </w:t>
      </w:r>
    </w:p>
    <w:p>
      <w:pPr>
        <w:widowControl/>
        <w:autoSpaceDE w:val="0"/>
        <w:autoSpaceDN w:val="0"/>
        <w:spacing w:line="252" w:lineRule="exact" w:before="252" w:after="0"/>
        <w:ind w:left="2" w:right="86" w:firstLine="0"/>
        <w:jc w:val="both"/>
      </w:pPr>
      <w:r>
        <w:rPr>
          <w:rFonts w:ascii="Arial" w:hAnsi="Arial" w:eastAsia="Arial"/>
          <w:b/>
          <w:i w:val="0"/>
          <w:color w:val="000000"/>
          <w:sz w:val="21"/>
        </w:rPr>
        <w:t xml:space="preserve">We do not discriminate in the acceptance or referral of candidates on the basis of race, </w:t>
      </w:r>
      <w:r>
        <w:rPr>
          <w:rFonts w:ascii="Arial" w:hAnsi="Arial" w:eastAsia="Arial"/>
          <w:b/>
          <w:i w:val="0"/>
          <w:color w:val="000000"/>
          <w:sz w:val="21"/>
        </w:rPr>
        <w:t xml:space="preserve">color, religion, sex, age, national origin, marital status, disability, or other protected </w:t>
      </w:r>
      <w:r>
        <w:rPr>
          <w:rFonts w:ascii="Arial" w:hAnsi="Arial" w:eastAsia="Arial"/>
          <w:b/>
          <w:i w:val="0"/>
          <w:color w:val="000000"/>
          <w:sz w:val="21"/>
        </w:rPr>
        <w:t xml:space="preserve">characteristic. </w:t>
      </w:r>
    </w:p>
    <w:p>
      <w:pPr>
        <w:widowControl/>
        <w:autoSpaceDE w:val="0"/>
        <w:autoSpaceDN w:val="0"/>
        <w:spacing w:line="234" w:lineRule="exact" w:before="274" w:after="0"/>
        <w:ind w:left="2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Thank you for the opportunity to serve you. </w:t>
      </w:r>
    </w:p>
    <w:p>
      <w:pPr>
        <w:widowControl/>
        <w:autoSpaceDE w:val="0"/>
        <w:autoSpaceDN w:val="0"/>
        <w:spacing w:line="234" w:lineRule="exact" w:before="270" w:after="0"/>
        <w:ind w:left="2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Best Regards, </w:t>
      </w:r>
    </w:p>
    <w:p>
      <w:pPr>
        <w:widowControl/>
        <w:autoSpaceDE w:val="0"/>
        <w:autoSpaceDN w:val="0"/>
        <w:spacing w:line="234" w:lineRule="exact" w:before="524" w:after="0"/>
        <w:ind w:left="2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Jonathan Bartos </w:t>
      </w:r>
    </w:p>
    <w:p>
      <w:pPr>
        <w:widowControl/>
        <w:autoSpaceDE w:val="0"/>
        <w:autoSpaceDN w:val="0"/>
        <w:spacing w:line="236" w:lineRule="exact" w:before="274" w:after="0"/>
        <w:ind w:left="2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President &amp; CEO </w:t>
      </w:r>
    </w:p>
    <w:p>
      <w:pPr>
        <w:widowControl/>
        <w:autoSpaceDE w:val="0"/>
        <w:autoSpaceDN w:val="0"/>
        <w:spacing w:line="236" w:lineRule="exact" w:before="520" w:after="208"/>
        <w:ind w:left="2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1"/>
        </w:rPr>
        <w:t xml:space="preserve">Please confirm acceptance on behalf of NeuNet Technolgies: </w:t>
      </w:r>
    </w:p>
    <w:tbl>
      <w:tblPr>
        <w:tblW w:type="auto" w:w="0"/>
        <w:tblInd w:w="0.0" w:type="dxa"/>
        <w:tblLayout w:type="fixed"/>
        <w:tblLook w:firstColumn="1" w:firstRow="1" w:lastColumn="0" w:lastRow="0" w:noHBand="0" w:noVBand="1" w:val="04A0"/>
      </w:tblPr>
      <w:tblGrid>
        <w:gridCol w:w="4757"/>
        <w:gridCol w:w="4757"/>
      </w:tblGrid>
      <w:tr>
        <w:trPr>
          <w:trHeight w:hRule="exact" w:val="282"/>
        </w:trPr>
        <w:tc>
          <w:tcPr>
            <w:tcW w:type="dxa" w:w="4858"/>
            <w:tcBorders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6" w:lineRule="exact" w:before="38" w:after="0"/>
              <w:ind w:left="2" w:right="0" w:firstLine="0"/>
              <w:jc w:val="left"/>
            </w:pPr>
            <w:r>
              <w:rPr>
                <w:rFonts w:ascii="ArialMT" w:hAnsi="ArialMT" w:eastAsia="ArialMT"/>
                <w:b w:val="0"/>
                <w:i w:val="0"/>
                <w:color w:val="000000"/>
                <w:sz w:val="21"/>
              </w:rPr>
              <w:t xml:space="preserve">Accepted by: </w:t>
            </w:r>
          </w:p>
        </w:tc>
        <w:tc>
          <w:tcPr>
            <w:tcW w:type="dxa" w:w="3772"/>
            <w:tcBorders>
              <w:bottom w:sz="5.599999999999909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6" w:lineRule="exact" w:before="38" w:after="0"/>
              <w:ind w:left="0" w:right="0" w:firstLine="0"/>
              <w:jc w:val="left"/>
            </w:pPr>
            <w:r>
              <w:rPr>
                <w:rFonts w:ascii="ArialMT" w:hAnsi="ArialMT" w:eastAsia="ArialMT"/>
                <w:b w:val="0"/>
                <w:i w:val="0"/>
                <w:color w:val="000000"/>
                <w:sz w:val="21"/>
              </w:rPr>
              <w:t xml:space="preserve"> Date: </w:t>
            </w:r>
          </w:p>
        </w:tc>
      </w:tr>
      <w:tr>
        <w:trPr>
          <w:trHeight w:hRule="exact" w:val="506"/>
        </w:trPr>
        <w:tc>
          <w:tcPr>
            <w:tcW w:type="dxa" w:w="4858"/>
            <w:tcBorders>
              <w:top w:sz="5.599999999999909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4" w:lineRule="exact" w:before="260" w:after="0"/>
              <w:ind w:left="2" w:right="0" w:firstLine="0"/>
              <w:jc w:val="left"/>
            </w:pPr>
            <w:r>
              <w:rPr>
                <w:rFonts w:ascii="ArialMT" w:hAnsi="ArialMT" w:eastAsia="ArialMT"/>
                <w:b w:val="0"/>
                <w:i w:val="0"/>
                <w:color w:val="000000"/>
                <w:sz w:val="21"/>
              </w:rPr>
              <w:t xml:space="preserve">Printed Name: </w:t>
            </w:r>
          </w:p>
        </w:tc>
        <w:tc>
          <w:tcPr>
            <w:tcW w:type="dxa" w:w="3772"/>
            <w:tcBorders>
              <w:top w:sz="5.599999999999909" w:val="single" w:color="#000000"/>
              <w:bottom w:sz="5.600000000000364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4" w:lineRule="exact" w:before="260" w:after="0"/>
              <w:ind w:left="14" w:right="0" w:firstLine="0"/>
              <w:jc w:val="left"/>
            </w:pPr>
            <w:r>
              <w:rPr>
                <w:rFonts w:ascii="ArialMT" w:hAnsi="ArialMT" w:eastAsia="ArialMT"/>
                <w:b w:val="0"/>
                <w:i w:val="0"/>
                <w:color w:val="000000"/>
                <w:sz w:val="21"/>
              </w:rPr>
              <w:t xml:space="preserve"> Title: </w:t>
            </w:r>
          </w:p>
        </w:tc>
      </w:tr>
    </w:tbl>
    <w:p>
      <w:pPr>
        <w:widowControl/>
        <w:autoSpaceDE w:val="0"/>
        <w:autoSpaceDN w:val="0"/>
        <w:spacing w:line="216" w:lineRule="auto" w:before="3210" w:after="0"/>
        <w:ind w:left="0" w:right="20" w:firstLine="0"/>
        <w:jc w:val="right"/>
      </w:pPr>
      <w:r>
        <w:rPr>
          <w:rFonts w:ascii="Courier New" w:hAnsi="Courier New" w:eastAsia="Courier New"/>
          <w:b w:val="0"/>
          <w:i w:val="0"/>
          <w:color w:val="000000"/>
          <w:sz w:val="24"/>
        </w:rPr>
        <w:t xml:space="preserve">Page 2/2 </w:t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720" w:right="1286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06"/>
      <w:gridCol w:w="1903"/>
      <w:gridCol w:w="3806"/>
    </w:tblGrid>
    <w:tr>
      <w:tc>
        <w:tcPr>
          <w:tcW w:type="dxa" w:w="3806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03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806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06"/>
      <w:gridCol w:w="1903"/>
      <w:gridCol w:w="3806"/>
    </w:tblGrid>
    <w:tr>
      <w:tc>
        <w:tcPr>
          <w:tcW w:type="dxa" w:w="3806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03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806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30"/>
      <w:gridCol w:w="6184"/>
    </w:tblGrid>
    <w:tr>
      <w:tc>
        <w:tcPr>
          <w:tcW w:type="dxa" w:w="3330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30"/>
      <w:gridCol w:w="6184"/>
    </w:tblGrid>
    <w:tr>
      <w:tc>
        <w:tcPr>
          <w:tcW w:type="dxa" w:w="3330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image" Target="media/image4.png"/><Relationship Id="rId17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