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Normal"/>
        <w:jc w:val="center"/>
        <w:rPr>
          <w:b/>
          <w:bCs/>
        </w:rPr>
      </w:pPr>
      <w:r>
        <w:rPr>
          <w:b/>
          <w:bCs/>
        </w:rPr>
        <w:t>HEALTHCARE TRAVEL STAFFING SERVICE AGREEMENT</w:t>
      </w:r>
    </w:p>
    <w:p>
      <w:pPr>
        <w:pStyle w:val="Normal"/>
        <w:jc w:val="center"/>
        <w:rPr>
          <w:b/>
          <w:bCs/>
        </w:rPr>
      </w:pPr>
      <w:r>
        <w:rPr>
          <w:b/>
          <w:bCs/>
        </w:rPr>
        <w:t>FOR</w:t>
      </w:r>
    </w:p>
    <w:p>
      <w:pPr>
        <w:pStyle w:val="Normal"/>
        <w:jc w:val="center"/>
        <w:rPr>
          <w:b/>
          <w:bCs/>
        </w:rPr>
      </w:pPr>
      <w:r>
        <w:rPr>
          <w:b/>
          <w:bCs/>
        </w:rPr>
        <w:t>STAFFING HEALTHCARE PROFESSIONALS</w:t>
      </w:r>
    </w:p>
    <w:p>
      <w:pPr>
        <w:pStyle w:val="Normal"/>
        <w:rPr/>
      </w:pPr>
      <w:r>
        <w:rPr/>
      </w:r>
    </w:p>
    <w:p>
      <w:pPr>
        <w:pStyle w:val="Normal"/>
        <w:rPr/>
      </w:pPr>
      <w:r>
        <w:rPr/>
        <w:t>THIS AGREEMENT FOR SUPPLEMENTAL HEALTHCARE</w:t>
      </w:r>
      <w:r>
        <w:rPr>
          <w:b/>
          <w:bCs/>
        </w:rPr>
        <w:t xml:space="preserve"> TRAVEL </w:t>
      </w:r>
      <w:r>
        <w:rPr/>
        <w:t>STAFFING SERVICES (the "Agreement") is made and entered into as of __________ ____, ______ (the "Effective Date") between ________________________, located at _____________________________________ (“_________") and ____________________, as owner and operator of _________________ located at ___________________________________________ ("Client").</w:t>
      </w:r>
    </w:p>
    <w:p>
      <w:pPr>
        <w:pStyle w:val="Normal"/>
        <w:rPr/>
      </w:pPr>
      <w:r>
        <w:rPr/>
      </w:r>
    </w:p>
    <w:p>
      <w:pPr>
        <w:pStyle w:val="Normal"/>
        <w:jc w:val="center"/>
        <w:rPr>
          <w:b/>
          <w:bCs/>
        </w:rPr>
      </w:pPr>
      <w:r>
        <w:rPr>
          <w:b/>
          <w:bCs/>
        </w:rPr>
        <w:t>RECITALS</w:t>
      </w:r>
    </w:p>
    <w:p>
      <w:pPr>
        <w:pStyle w:val="Normal"/>
        <w:rPr/>
      </w:pPr>
      <w:r>
        <w:rPr/>
      </w:r>
    </w:p>
    <w:p>
      <w:pPr>
        <w:pStyle w:val="Normal"/>
        <w:ind w:hanging="720" w:start="720"/>
        <w:rPr/>
      </w:pPr>
      <w:r>
        <w:rPr/>
        <w:t xml:space="preserve">A. </w:t>
        <w:tab/>
        <w:t xml:space="preserve">___________ is in the business of providing supplemental healthcare travel staffing to medical care providers such as Client. </w:t>
      </w:r>
    </w:p>
    <w:p>
      <w:pPr>
        <w:pStyle w:val="Normal"/>
        <w:rPr/>
      </w:pPr>
      <w:r>
        <w:rPr/>
      </w:r>
    </w:p>
    <w:p>
      <w:pPr>
        <w:pStyle w:val="Normal"/>
        <w:ind w:hanging="720" w:start="720"/>
        <w:rPr/>
      </w:pPr>
      <w:r>
        <w:rPr/>
        <w:t xml:space="preserve">B. </w:t>
        <w:tab/>
        <w:t xml:space="preserve">Client owns and/or operates hospitals and/or clinics (“Participating Hospitals”) identified in Exhibit "A" attached hereto and incorporated by this reference. </w:t>
      </w:r>
    </w:p>
    <w:p>
      <w:pPr>
        <w:pStyle w:val="Normal"/>
        <w:rPr/>
      </w:pPr>
      <w:r>
        <w:rPr/>
      </w:r>
    </w:p>
    <w:p>
      <w:pPr>
        <w:pStyle w:val="Normal"/>
        <w:ind w:hanging="720" w:start="720"/>
        <w:rPr/>
      </w:pPr>
      <w:r>
        <w:rPr/>
        <w:t xml:space="preserve">C. </w:t>
        <w:tab/>
        <w:t xml:space="preserve">Client desires ___________ to provide, upon reasonable notice and on a non-exclusive basis, travel healthcare providers such as registered nurses, licensed practitioner nurse, certified nurse assistants, physicians assistants, pharmacy techs, surgical techs, sterile processing technicians, etc. ("Candidates") to Client at the Participating Hospitals, available on a short-term or long-term travel basis. </w:t>
      </w:r>
    </w:p>
    <w:p>
      <w:pPr>
        <w:pStyle w:val="Normal"/>
        <w:rPr/>
      </w:pPr>
      <w:r>
        <w:rPr/>
      </w:r>
    </w:p>
    <w:p>
      <w:pPr>
        <w:pStyle w:val="Normal"/>
        <w:rPr/>
      </w:pPr>
      <w:r>
        <w:rPr/>
        <w:t>NOW, THEREFORE, for and in consideration of the recitals above and the mutual covenants and conditions contained herein, ___________ and Client agree as follows:</w:t>
      </w:r>
    </w:p>
    <w:p>
      <w:pPr>
        <w:pStyle w:val="Normal"/>
        <w:rPr/>
      </w:pPr>
      <w:r>
        <w:rPr/>
      </w:r>
    </w:p>
    <w:p>
      <w:pPr>
        <w:pStyle w:val="Normal"/>
        <w:rPr>
          <w:b/>
          <w:bCs/>
        </w:rPr>
      </w:pPr>
      <w:r>
        <w:rPr>
          <w:b/>
          <w:bCs/>
        </w:rPr>
        <w:t xml:space="preserve">I. TRAVEL STAFFING (TRAVEL CANDIDATES) </w:t>
      </w:r>
    </w:p>
    <w:p>
      <w:pPr>
        <w:pStyle w:val="Normal"/>
        <w:rPr/>
      </w:pPr>
      <w:r>
        <w:rPr/>
      </w:r>
    </w:p>
    <w:p>
      <w:pPr>
        <w:pStyle w:val="Normal"/>
        <w:rPr/>
      </w:pPr>
      <w:r>
        <w:rPr/>
        <w:t>For Contract Candidates hired for travel engagements the following terms and conditions apply:</w:t>
      </w:r>
    </w:p>
    <w:p>
      <w:pPr>
        <w:pStyle w:val="Normal"/>
        <w:rPr/>
      </w:pPr>
      <w:r>
        <w:rPr/>
        <w:t xml:space="preserve"> </w:t>
      </w:r>
    </w:p>
    <w:p>
      <w:pPr>
        <w:pStyle w:val="ListParagraph"/>
        <w:numPr>
          <w:ilvl w:val="0"/>
          <w:numId w:val="2"/>
        </w:numPr>
        <w:rPr/>
      </w:pPr>
      <w:r>
        <w:rPr>
          <w:b/>
          <w:bCs/>
        </w:rPr>
        <w:t>DESCRIPTION OF CONTRACT TRAVEL STAFFING SERVICES</w:t>
      </w:r>
      <w:r>
        <w:rPr/>
        <w:t>. ________________</w:t>
      </w:r>
      <w:r>
        <w:rPr>
          <w:b/>
          <w:bCs/>
        </w:rPr>
        <w:t xml:space="preserve"> </w:t>
      </w:r>
      <w:r>
        <w:rPr/>
        <w:t>will use its commercially reasonable efforts to recruit and staff qualified travel assignment Candidates as requested by Client. The services to be performed by travel assignment Candidates and associated fees will be set forth in addenda to this Agreement, as mutually agreed by Client and ________________</w:t>
      </w:r>
      <w:r>
        <w:rPr>
          <w:b/>
          <w:bCs/>
        </w:rPr>
        <w:t xml:space="preserve"> </w:t>
      </w:r>
      <w:r>
        <w:rPr/>
        <w:t>from time to time (the "Candidate Addenda"). Travel assignment Candidates presented to Client with respect to requests for short term or long-term contract travel placement may be referred to herein as "Contract Travel Assignment Candidates."</w:t>
      </w:r>
    </w:p>
    <w:p>
      <w:pPr>
        <w:pStyle w:val="ListParagraph"/>
        <w:ind w:start="1080"/>
        <w:rPr/>
      </w:pPr>
      <w:r>
        <w:rPr/>
      </w:r>
    </w:p>
    <w:p>
      <w:pPr>
        <w:pStyle w:val="ListParagraph"/>
        <w:numPr>
          <w:ilvl w:val="0"/>
          <w:numId w:val="2"/>
        </w:numPr>
        <w:rPr/>
      </w:pPr>
      <w:r>
        <w:rPr>
          <w:b/>
          <w:bCs/>
        </w:rPr>
        <w:t>CANDIDATE QUALIFICATIONS.</w:t>
      </w:r>
      <w:r>
        <w:rPr/>
        <w:t xml:space="preserve"> Except where prohibited by law, ________________</w:t>
      </w:r>
      <w:r>
        <w:rPr>
          <w:b/>
          <w:bCs/>
        </w:rPr>
        <w:t xml:space="preserve"> </w:t>
      </w:r>
      <w:r>
        <w:rPr/>
        <w:t>will provide Client with qualifications of travel assignment Candidates as reasonably necessary to establish competency, which may include completed employment application, resume, verification of licensure, clinical skills checklist(s), and medication competency exam. ________________</w:t>
      </w:r>
      <w:r>
        <w:rPr>
          <w:b/>
          <w:bCs/>
        </w:rPr>
        <w:t xml:space="preserve"> </w:t>
      </w:r>
      <w:r>
        <w:rPr/>
        <w:t>will verify that each travel assignment Candidate has a minimum of one (1) years' experience within the area of assignment. Furthermore, ________________</w:t>
      </w:r>
      <w:r>
        <w:rPr>
          <w:b/>
          <w:bCs/>
        </w:rPr>
        <w:t xml:space="preserve"> </w:t>
      </w:r>
      <w:r>
        <w:rPr/>
        <w:t>will maintain compliance documentation on file for each travel assignment Candidate referred to Client. Client agrees to maintain such compliance documentation in a trustworthy manner in a secure and confidential location and to protect such documentation from any unauthorized disclosure consistent with state and federal law. The required compliance documentation will include the following (the "Required Documentation"): a copy of State Licensure, professional references, a negative 5, 7, or 10-panel drug screen, negative PPD test results or chest X-ray with TB questionnaire, Basic Cardiac Life Support certification as required by profession, physical health statement signed by physician, Vance/la (Declination, Titer or Immunizations), Rubella, Mumps and Rubeola (Titers or Immunizations), Hepatitis B vaccines or Declination, Coronavirus vaccination or Declination, Office of Inspector General (OIG), System for Award Management (SAM) exclusion results and criminal background check, as well as the orientation and safety manual. ________________</w:t>
      </w:r>
      <w:r>
        <w:rPr>
          <w:b/>
          <w:bCs/>
        </w:rPr>
        <w:t xml:space="preserve"> </w:t>
      </w:r>
      <w:r>
        <w:rPr/>
        <w:t>will provide the Required Documentation to Client one (1) week prior to the travel assignment Candidate's start date. Client may request additional compliance documentation; provided, however, ________________</w:t>
      </w:r>
      <w:r>
        <w:rPr>
          <w:b/>
          <w:bCs/>
        </w:rPr>
        <w:t xml:space="preserve"> </w:t>
      </w:r>
      <w:r>
        <w:rPr/>
        <w:t>shall not be obligated to produce documentation in addition to the Required Documentation. If ________________</w:t>
      </w:r>
      <w:r>
        <w:rPr>
          <w:b/>
          <w:bCs/>
        </w:rPr>
        <w:t xml:space="preserve"> </w:t>
      </w:r>
      <w:r>
        <w:rPr/>
        <w:t>does not produce additional documentation Client may cancel the order. All Client requests for additional documentation requests must be made in writing.</w:t>
      </w:r>
    </w:p>
    <w:p>
      <w:pPr>
        <w:pStyle w:val="ListParagraph"/>
        <w:ind w:start="1080"/>
        <w:rPr/>
      </w:pPr>
      <w:r>
        <w:rPr/>
      </w:r>
    </w:p>
    <w:p>
      <w:pPr>
        <w:pStyle w:val="ListParagraph"/>
        <w:numPr>
          <w:ilvl w:val="0"/>
          <w:numId w:val="2"/>
        </w:numPr>
        <w:rPr/>
      </w:pPr>
      <w:r>
        <w:rPr>
          <w:b/>
          <w:bCs/>
        </w:rPr>
        <w:t>TRAVEL ASSIGMENT DURATION.</w:t>
      </w:r>
      <w:r>
        <w:rPr/>
        <w:t xml:space="preserve"> For travel assignments, travel assignment Candidates will be placed with Client for a period of thirteen (13) weeks, unless both parties agree to a different duration in advance of the Assignment. </w:t>
      </w:r>
    </w:p>
    <w:p>
      <w:pPr>
        <w:pStyle w:val="ListParagraph"/>
        <w:ind w:start="1080"/>
        <w:rPr/>
      </w:pPr>
      <w:r>
        <w:rPr/>
      </w:r>
    </w:p>
    <w:p>
      <w:pPr>
        <w:pStyle w:val="ListParagraph"/>
        <w:numPr>
          <w:ilvl w:val="0"/>
          <w:numId w:val="2"/>
        </w:numPr>
        <w:rPr/>
      </w:pPr>
      <w:r>
        <w:rPr>
          <w:b/>
          <w:bCs/>
        </w:rPr>
        <w:t>WORK WEEK.</w:t>
      </w:r>
      <w:r>
        <w:rPr/>
        <w:t xml:space="preserve"> For travel assignment Candidates confirmed for twelve (12) hour shifts, Client will guarantee a minimum of thirty-six (36) hours per each one-week work period. For travel assignment Candidates confirmed for less than twelve (12) hour shifts, Client will guarantee a minimum of forty (40) hours per each one-week work period. Client is financially responsible for all weekly guaranteed hours in the event of shift cancellations or facility closures. The calculation of guaranteed minimum hours includes regular and overtime hours but does not include any "on-call" time. </w:t>
      </w:r>
    </w:p>
    <w:p>
      <w:pPr>
        <w:pStyle w:val="Normal"/>
        <w:rPr/>
      </w:pPr>
      <w:r>
        <w:rPr/>
      </w:r>
    </w:p>
    <w:p>
      <w:pPr>
        <w:pStyle w:val="ListParagraph"/>
        <w:numPr>
          <w:ilvl w:val="0"/>
          <w:numId w:val="2"/>
        </w:numPr>
        <w:rPr/>
      </w:pPr>
      <w:r>
        <w:rPr>
          <w:b/>
          <w:bCs/>
        </w:rPr>
        <w:t>TERMINATION OF ASSIGNMENT.</w:t>
      </w:r>
      <w:r>
        <w:rPr/>
        <w:t xml:space="preserve"> After acceptance of Candidate for travel assignment by Client, Client may not cancel that assignment within thirteen (13) days of assignment start date. Client shall provide no less than thirteen days (13) days' written notice of any cancellation of travel assignment for reasons other than employee's inability to perform essential functions of the job unless otherwise agreed upon by the parties. </w:t>
      </w:r>
    </w:p>
    <w:p>
      <w:pPr>
        <w:pStyle w:val="ListParagraph"/>
        <w:rPr/>
      </w:pPr>
      <w:r>
        <w:rPr/>
      </w:r>
    </w:p>
    <w:p>
      <w:pPr>
        <w:pStyle w:val="ListParagraph"/>
        <w:numPr>
          <w:ilvl w:val="0"/>
          <w:numId w:val="2"/>
        </w:numPr>
        <w:rPr/>
      </w:pPr>
      <w:r>
        <w:rPr>
          <w:b/>
          <w:bCs/>
        </w:rPr>
        <w:t>INSURANCE</w:t>
      </w:r>
      <w:r>
        <w:rPr/>
        <w:t>. ________________</w:t>
      </w:r>
      <w:r>
        <w:rPr>
          <w:b/>
          <w:bCs/>
        </w:rPr>
        <w:t xml:space="preserve"> </w:t>
      </w:r>
      <w:r>
        <w:rPr/>
        <w:t>will provide general liability insurance and professional liability insurance with a limit of one million dollars ($1,000,000) per occurrence and three million dollars ($3,000,000) aggregate per year for each travel assignment Candidate employed by ________________. ________________</w:t>
      </w:r>
      <w:r>
        <w:rPr>
          <w:b/>
          <w:bCs/>
        </w:rPr>
        <w:t xml:space="preserve"> </w:t>
      </w:r>
      <w:r>
        <w:rPr/>
        <w:t>will provide business automobile liability insurance with a limit of one million dollars ($1,000,000) combined single limit. ________________</w:t>
      </w:r>
      <w:r>
        <w:rPr>
          <w:b/>
          <w:bCs/>
        </w:rPr>
        <w:t xml:space="preserve"> </w:t>
      </w:r>
      <w:r>
        <w:rPr/>
        <w:t>will provide EXCESS / UMBRELLA LIABILITY insurance with a limit of five million dollars ($5,000,000) each claim. ________________</w:t>
      </w:r>
      <w:r>
        <w:rPr>
          <w:b/>
          <w:bCs/>
        </w:rPr>
        <w:t xml:space="preserve"> </w:t>
      </w:r>
      <w:r>
        <w:rPr/>
        <w:t>will also provide Worker's Compensation Insurance for each travel assignment Candidate employed by ________________</w:t>
      </w:r>
      <w:r>
        <w:rPr>
          <w:b/>
          <w:bCs/>
        </w:rPr>
        <w:t xml:space="preserve"> </w:t>
      </w:r>
      <w:r>
        <w:rPr/>
        <w:t>and will provide certificates of insurance to Client if requested.</w:t>
      </w:r>
    </w:p>
    <w:p>
      <w:pPr>
        <w:pStyle w:val="ListParagraph"/>
        <w:rPr/>
      </w:pPr>
      <w:r>
        <w:rPr/>
      </w:r>
    </w:p>
    <w:p>
      <w:pPr>
        <w:pStyle w:val="ListParagraph"/>
        <w:ind w:start="1080"/>
        <w:rPr/>
      </w:pPr>
      <w:r>
        <w:rPr/>
      </w:r>
    </w:p>
    <w:p>
      <w:pPr>
        <w:pStyle w:val="ListParagraph"/>
        <w:numPr>
          <w:ilvl w:val="0"/>
          <w:numId w:val="2"/>
        </w:numPr>
        <w:rPr/>
      </w:pPr>
      <w:r>
        <w:rPr>
          <w:b/>
          <w:bCs/>
        </w:rPr>
        <w:t>CANDIDATE COMPENSATION</w:t>
      </w:r>
      <w:r>
        <w:rPr/>
        <w:t>. ________________</w:t>
      </w:r>
      <w:r>
        <w:rPr>
          <w:b/>
          <w:bCs/>
        </w:rPr>
        <w:t xml:space="preserve"> </w:t>
      </w:r>
      <w:r>
        <w:rPr/>
        <w:t>or an affiliate thereof will employ and compensate each travel assignment Candidate for the total number of hours worked as reported by travel assignment Candidate and deduct all applicable payroll taxes such as FICA, Federal and State from the compensation of our travel assignment Candidates in compliance with state and federal law. ________________</w:t>
      </w:r>
      <w:r>
        <w:rPr>
          <w:b/>
          <w:bCs/>
        </w:rPr>
        <w:t xml:space="preserve"> </w:t>
      </w:r>
      <w:r>
        <w:rPr/>
        <w:t>will also maintain relevant employment documentation such as an 1-9 form, W-4 form, and photo identification of all travel assignment Candidates.</w:t>
      </w:r>
    </w:p>
    <w:p>
      <w:pPr>
        <w:pStyle w:val="ListParagraph"/>
        <w:ind w:start="1080"/>
        <w:rPr/>
      </w:pPr>
      <w:r>
        <w:rPr/>
      </w:r>
    </w:p>
    <w:p>
      <w:pPr>
        <w:pStyle w:val="ListParagraph"/>
        <w:numPr>
          <w:ilvl w:val="0"/>
          <w:numId w:val="2"/>
        </w:numPr>
        <w:rPr/>
      </w:pPr>
      <w:r>
        <w:rPr>
          <w:b/>
          <w:bCs/>
        </w:rPr>
        <w:t>PERFORMANCE OUTCOMES.</w:t>
      </w:r>
      <w:r>
        <w:rPr/>
        <w:t xml:space="preserve"> ________________</w:t>
      </w:r>
      <w:r>
        <w:rPr>
          <w:b/>
          <w:bCs/>
        </w:rPr>
        <w:t xml:space="preserve"> </w:t>
      </w:r>
      <w:r>
        <w:rPr/>
        <w:t xml:space="preserve">and Client agree to comply with all employment related laws during this process and use commercially reasonable efforts to come up with a mutually acceptable solution to any problems that may arise. </w:t>
      </w:r>
    </w:p>
    <w:p>
      <w:pPr>
        <w:pStyle w:val="Normal"/>
        <w:rPr/>
      </w:pPr>
      <w:r>
        <w:rPr/>
      </w:r>
    </w:p>
    <w:p>
      <w:pPr>
        <w:pStyle w:val="ListParagraph"/>
        <w:numPr>
          <w:ilvl w:val="0"/>
          <w:numId w:val="2"/>
        </w:numPr>
        <w:rPr/>
      </w:pPr>
      <w:r>
        <w:rPr>
          <w:b/>
          <w:bCs/>
        </w:rPr>
        <w:t>FLOATING</w:t>
      </w:r>
      <w:r>
        <w:rPr/>
        <w:t xml:space="preserve">. Client agrees to float travel assignment Candidates in rotation with Client's own staff and only in accordance with Client's own floating policies as well as the clinical experiences of the travel assignment Candidate being asked to float. Client confirms that Client's policies on floating comply with current standards of The Joint Commission ("TJC"), including the provision of an appropriate orientation to the new unit. </w:t>
      </w:r>
    </w:p>
    <w:p>
      <w:pPr>
        <w:pStyle w:val="Normal"/>
        <w:rPr/>
      </w:pPr>
      <w:r>
        <w:rPr/>
      </w:r>
    </w:p>
    <w:p>
      <w:pPr>
        <w:pStyle w:val="ListParagraph"/>
        <w:numPr>
          <w:ilvl w:val="0"/>
          <w:numId w:val="2"/>
        </w:numPr>
        <w:rPr/>
      </w:pPr>
      <w:r>
        <w:rPr>
          <w:b/>
          <w:bCs/>
        </w:rPr>
        <w:t>INCIDENTS/ACCIDENT REPORTING.</w:t>
      </w:r>
      <w:r>
        <w:rPr/>
        <w:t xml:space="preserve"> In the event of unexpected incidents, including errors, unanticipated deaths, injuries, safety hazards or other events, Client must submit documentation of said incident to ________________</w:t>
      </w:r>
      <w:r>
        <w:rPr>
          <w:b/>
          <w:bCs/>
        </w:rPr>
        <w:t xml:space="preserve"> </w:t>
      </w:r>
      <w:r>
        <w:rPr/>
        <w:t>as soon as reasonably possible. Once notified, ________________</w:t>
      </w:r>
      <w:r>
        <w:rPr>
          <w:b/>
          <w:bCs/>
        </w:rPr>
        <w:t xml:space="preserve"> </w:t>
      </w:r>
      <w:r>
        <w:rPr/>
        <w:t xml:space="preserve">will conduct a preliminary investigation and work with Client to resolve the matter in a reasonably prompt manner. </w:t>
      </w:r>
    </w:p>
    <w:p>
      <w:pPr>
        <w:pStyle w:val="Normal"/>
        <w:rPr/>
      </w:pPr>
      <w:r>
        <w:rPr/>
      </w:r>
    </w:p>
    <w:p>
      <w:pPr>
        <w:pStyle w:val="ListParagraph"/>
        <w:numPr>
          <w:ilvl w:val="0"/>
          <w:numId w:val="2"/>
        </w:numPr>
        <w:rPr/>
      </w:pPr>
      <w:r>
        <w:rPr>
          <w:b/>
          <w:bCs/>
        </w:rPr>
        <w:t>INJURY PROCEDURES.</w:t>
      </w:r>
      <w:r>
        <w:rPr/>
        <w:t xml:space="preserve"> In the event of an unexpected injury to travel assignment Candidate at Client's job site, Client will send travel assignment Candidate for treatment. In the event that the injury is an emergency, Client will immediately send the injured travel assignment Candidate to the closest emergency room and provide transportation if necessary or appropriate.</w:t>
      </w:r>
    </w:p>
    <w:p>
      <w:pPr>
        <w:pStyle w:val="Normal"/>
        <w:rPr/>
      </w:pPr>
      <w:r>
        <w:rPr/>
        <w:t xml:space="preserve"> </w:t>
      </w:r>
    </w:p>
    <w:p>
      <w:pPr>
        <w:pStyle w:val="ListParagraph"/>
        <w:numPr>
          <w:ilvl w:val="0"/>
          <w:numId w:val="2"/>
        </w:numPr>
        <w:rPr/>
      </w:pPr>
      <w:r>
        <w:rPr>
          <w:b/>
          <w:bCs/>
        </w:rPr>
        <w:t>DIRECT HIRE SEARCH &amp; PLACEMENT FEE STIPULATION.</w:t>
      </w:r>
      <w:r>
        <w:rPr/>
        <w:t xml:space="preserve"> Client agrees not to offer regular Client employment which would be concurrent with any ________________</w:t>
      </w:r>
      <w:r>
        <w:rPr>
          <w:b/>
          <w:bCs/>
        </w:rPr>
        <w:t xml:space="preserve"> </w:t>
      </w:r>
      <w:r>
        <w:rPr/>
        <w:t>assignment to any travel assignment Candidate. If Client hires any travel assignment Candidate who was presented to Client by ________________</w:t>
      </w:r>
      <w:r>
        <w:rPr>
          <w:b/>
          <w:bCs/>
        </w:rPr>
        <w:t xml:space="preserve"> </w:t>
      </w:r>
      <w:r>
        <w:rPr/>
        <w:t>during the term of this Agreement, a fee of thirty percent (30%) of the travel assignment Candidate's annual salary during the first year of employment will be paid by Client to ________________. If the travel assignment Candidate has completed one (1) travel assignment consisting of thirteen (13) or more weeks, the fee is reduced to up to twenty-five percent (25%) of the travel assignment Candidate's annual salary during the first year of employment. If the travel assignment Candidate has completed two (2) travel assignments consisting of thirteen (13) or more weeks each, the fee is reduced to up to twenty percent (20%) of the travel assignment Candidate's annual salary during the first year of employment. Each month, up to a maximum 12 months, a payment of 20% of the travel assignment Candidate monthly paid salary shall be made to ________________</w:t>
      </w:r>
      <w:r>
        <w:rPr>
          <w:b/>
          <w:bCs/>
        </w:rPr>
        <w:t xml:space="preserve"> </w:t>
      </w:r>
      <w:r>
        <w:rPr/>
        <w:t xml:space="preserve">within thirty (30) days of invoicing thereof by ________________. </w:t>
      </w:r>
    </w:p>
    <w:p>
      <w:pPr>
        <w:pStyle w:val="Normal"/>
        <w:rPr/>
      </w:pPr>
      <w:r>
        <w:rPr/>
      </w:r>
    </w:p>
    <w:p>
      <w:pPr>
        <w:pStyle w:val="ListParagraph"/>
        <w:numPr>
          <w:ilvl w:val="0"/>
          <w:numId w:val="2"/>
        </w:numPr>
        <w:rPr/>
      </w:pPr>
      <w:r>
        <w:rPr>
          <w:b/>
          <w:bCs/>
        </w:rPr>
        <w:t>POLICIES AND PROCEDURES.</w:t>
      </w:r>
      <w:r>
        <w:rPr/>
        <w:t xml:space="preserve"> Consistent with applicable employment laws, Client shall screen, interview and accept or reject travel assignment Candidates in a timely manner and notify ________________</w:t>
      </w:r>
      <w:r>
        <w:rPr>
          <w:b/>
          <w:bCs/>
        </w:rPr>
        <w:t xml:space="preserve"> </w:t>
      </w:r>
      <w:r>
        <w:rPr/>
        <w:t>of the starting date, unit, shift, and orientation schedule for each accepted travel assignment Candidate. Client shall furnish ________________</w:t>
      </w:r>
      <w:r>
        <w:rPr>
          <w:b/>
          <w:bCs/>
        </w:rPr>
        <w:t xml:space="preserve"> </w:t>
      </w:r>
      <w:r>
        <w:rPr/>
        <w:t xml:space="preserve">with copies of all Client policies and procedures relevant to the scope of practice and duties of the travel assignment Candidate in the Client facility and to which the travel assignment Candidate will be expected to comply including, but not limited to, the following: job description(s), performance standards, infection control, blood borne pathogen protective policies, corporate compliance and ethics codes, abuse and neglect, patient privacy and confidentiality, and medical record keeping. </w:t>
      </w:r>
    </w:p>
    <w:p>
      <w:pPr>
        <w:pStyle w:val="Normal"/>
        <w:rPr/>
      </w:pPr>
      <w:r>
        <w:rPr/>
      </w:r>
    </w:p>
    <w:p>
      <w:pPr>
        <w:pStyle w:val="ListParagraph"/>
        <w:numPr>
          <w:ilvl w:val="0"/>
          <w:numId w:val="2"/>
        </w:numPr>
        <w:rPr/>
      </w:pPr>
      <w:r>
        <w:rPr>
          <w:b/>
          <w:bCs/>
        </w:rPr>
        <w:t>MANNER OF WORK.</w:t>
      </w:r>
      <w:r>
        <w:rPr/>
        <w:t xml:space="preserve"> Travel assignment Candidates are not supervised by ________________; they are subject at all times to Client's direct and indirect supervision. Client shall be solely responsible for the direction, control and supervision of all travel assignment Candidates; provided, however, that Client shall not, without the prior written consent of ________________, permit or request a travel assignment Candidate to perform any work or task or render any service that does not fall within the scope of the duties and responsibilities for such travel assignment Candidate as set forth within Client's policies and procedures. Client shall not, under any circumstances, entrust any travel assignment Candidate with unattended premises, cash, checks, keys, credit cards, merchandise, confidential or trade secret information, negotiable instruments or other valuables without the express prior written permission of ________________. Client shall not, under any circumstances, request or permit any travel assignment Candidate to use any vehicle, regardless of ownership, in connection with the performance of any work or service for Client. </w:t>
      </w:r>
    </w:p>
    <w:p>
      <w:pPr>
        <w:pStyle w:val="Normal"/>
        <w:rPr/>
      </w:pPr>
      <w:r>
        <w:rPr/>
      </w:r>
    </w:p>
    <w:p>
      <w:pPr>
        <w:pStyle w:val="ListParagraph"/>
        <w:numPr>
          <w:ilvl w:val="0"/>
          <w:numId w:val="2"/>
        </w:numPr>
        <w:rPr/>
      </w:pPr>
      <w:r>
        <w:rPr>
          <w:b/>
          <w:bCs/>
        </w:rPr>
        <w:t>SAFETY.</w:t>
      </w:r>
      <w:r>
        <w:rPr/>
        <w:t xml:space="preserve"> Client agrees to provide travel assignment Candidates with a safe and healthy work environment and in particular to provided safety training, equipment, or devices necessary or required by all applicable laws for any work to be performed, or which is used by Client's own employees or other contractors in the performance of similar work. Client shall also designate a member of its staff who shall act as a coordinator to train and orient the travel assignment Candidate to all applicable operational and safety procedures. Client agrees that it shall have in place at all times policies and protocols in compliance with all laws related to employee health, safety and well-being. </w:t>
      </w:r>
    </w:p>
    <w:p>
      <w:pPr>
        <w:pStyle w:val="Normal"/>
        <w:rPr/>
      </w:pPr>
      <w:r>
        <w:rPr/>
      </w:r>
    </w:p>
    <w:p>
      <w:pPr>
        <w:pStyle w:val="ListParagraph"/>
        <w:numPr>
          <w:ilvl w:val="0"/>
          <w:numId w:val="2"/>
        </w:numPr>
        <w:rPr/>
      </w:pPr>
      <w:r>
        <w:rPr>
          <w:b/>
          <w:bCs/>
        </w:rPr>
        <w:t>COMPLIANCE WITH APPLICABLE LAWS</w:t>
      </w:r>
      <w:r>
        <w:rPr/>
        <w:t>. Client agrees to comply with all applicable laws, including but not limited to employment and compensation related laws and all laws relating to travel assignment Candidates' employee health, safety and well-being. ________________</w:t>
      </w:r>
      <w:r>
        <w:rPr>
          <w:b/>
          <w:bCs/>
        </w:rPr>
        <w:t xml:space="preserve"> </w:t>
      </w:r>
      <w:r>
        <w:rPr/>
        <w:t xml:space="preserve">shall incur no liability with regard to any violation of applicable laws by Client.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b/>
          <w:bCs/>
        </w:rPr>
      </w:pPr>
      <w:r>
        <w:rPr>
          <w:b/>
          <w:bCs/>
        </w:rPr>
        <w:t xml:space="preserve">GENERAL TERMS </w:t>
      </w:r>
    </w:p>
    <w:p>
      <w:pPr>
        <w:pStyle w:val="Normal"/>
        <w:rPr/>
      </w:pPr>
      <w:r>
        <w:rPr/>
      </w:r>
    </w:p>
    <w:p>
      <w:pPr>
        <w:pStyle w:val="ListParagraph"/>
        <w:numPr>
          <w:ilvl w:val="0"/>
          <w:numId w:val="1"/>
        </w:numPr>
        <w:rPr/>
      </w:pPr>
      <w:r>
        <w:rPr>
          <w:b/>
          <w:bCs/>
        </w:rPr>
        <w:t>PAYMENT TERMS.</w:t>
      </w:r>
      <w:r>
        <w:rPr/>
        <w:t xml:space="preserve"> ________________</w:t>
      </w:r>
      <w:r>
        <w:rPr>
          <w:b/>
          <w:bCs/>
        </w:rPr>
        <w:t xml:space="preserve"> </w:t>
      </w:r>
      <w:r>
        <w:rPr/>
        <w:t xml:space="preserve">will invoice Client for services rendered under this Agreement as specified in Addenda "A" of this Agreement. Invoices are payable net thirty (30) days. </w:t>
      </w:r>
    </w:p>
    <w:p>
      <w:pPr>
        <w:pStyle w:val="Normal"/>
        <w:rPr/>
      </w:pPr>
      <w:r>
        <w:rPr/>
      </w:r>
    </w:p>
    <w:p>
      <w:pPr>
        <w:pStyle w:val="ListParagraph"/>
        <w:numPr>
          <w:ilvl w:val="0"/>
          <w:numId w:val="1"/>
        </w:numPr>
        <w:rPr/>
      </w:pPr>
      <w:r>
        <w:rPr>
          <w:b/>
          <w:bCs/>
        </w:rPr>
        <w:t>ACCESS CLAUSE:</w:t>
      </w:r>
      <w:r>
        <w:rPr/>
        <w:t xml:space="preserve"> </w:t>
      </w:r>
      <w:r>
        <w:rPr>
          <w:b/>
          <w:bCs/>
        </w:rPr>
        <w:t>COMPLIANCE WITH SECTION 420.302(b).</w:t>
      </w:r>
      <w:r>
        <w:rPr/>
        <w:t xml:space="preserve"> ________________</w:t>
      </w:r>
      <w:r>
        <w:rPr>
          <w:b/>
          <w:bCs/>
        </w:rPr>
        <w:t xml:space="preserve"> </w:t>
      </w:r>
      <w:r>
        <w:rPr/>
        <w:t>agrees to comply with 42 C.F.R. Section 420.302(b) and will provide access to the Comptroller General of the United States, the Department of Health and Human Services and their duly authorized representatives to this Agreement and all books, documents and records necessary to certify the nature and extent of the costs of the services performed. This includes organizations related to ________________</w:t>
      </w:r>
      <w:r>
        <w:rPr>
          <w:b/>
          <w:bCs/>
        </w:rPr>
        <w:t xml:space="preserve"> </w:t>
      </w:r>
      <w:r>
        <w:rPr/>
        <w:t>that have a contract with ________________</w:t>
      </w:r>
      <w:r>
        <w:rPr>
          <w:b/>
          <w:bCs/>
        </w:rPr>
        <w:t xml:space="preserve"> </w:t>
      </w:r>
      <w:r>
        <w:rPr/>
        <w:t xml:space="preserve">for which the cost or value is $10,000 or more in a 12-month period. Said access shall be limited to a period of four (4) years after the furnishing of services hereunder. </w:t>
      </w:r>
    </w:p>
    <w:p>
      <w:pPr>
        <w:pStyle w:val="Normal"/>
        <w:rPr/>
      </w:pPr>
      <w:r>
        <w:rPr/>
      </w:r>
    </w:p>
    <w:p>
      <w:pPr>
        <w:pStyle w:val="ListParagraph"/>
        <w:numPr>
          <w:ilvl w:val="0"/>
          <w:numId w:val="1"/>
        </w:numPr>
        <w:rPr/>
      </w:pPr>
      <w:r>
        <w:rPr>
          <w:b/>
          <w:bCs/>
        </w:rPr>
        <w:t>TJC, HIPAA, CCMIA, and OSHA.</w:t>
      </w:r>
      <w:r>
        <w:rPr/>
        <w:t xml:space="preserve"> ________________</w:t>
      </w:r>
      <w:r>
        <w:rPr>
          <w:b/>
          <w:bCs/>
        </w:rPr>
        <w:t xml:space="preserve"> </w:t>
      </w:r>
      <w:r>
        <w:rPr/>
        <w:t xml:space="preserve">will abide by and comply with all local, state, and federal regulatory agency requirements, including Health Insurance Portability and Accountability Act of 1996, as amended, and implementing regulations, California Confidentiality of Medical Information Act, Civil Code Sections 56 et eq., TJC standards and Occupational Safety &amp; Health Administration regulations. </w:t>
      </w:r>
    </w:p>
    <w:p>
      <w:pPr>
        <w:pStyle w:val="Normal"/>
        <w:rPr/>
      </w:pPr>
      <w:r>
        <w:rPr/>
      </w:r>
    </w:p>
    <w:p>
      <w:pPr>
        <w:pStyle w:val="ListParagraph"/>
        <w:numPr>
          <w:ilvl w:val="0"/>
          <w:numId w:val="1"/>
        </w:numPr>
        <w:rPr/>
      </w:pPr>
      <w:r>
        <w:rPr>
          <w:b/>
          <w:bCs/>
        </w:rPr>
        <w:t>NONDISCRIMINATION.</w:t>
      </w:r>
      <w:r>
        <w:rPr/>
        <w:t xml:space="preserve"> In compliance with federal law, including the provisions of the Title IX of the Education Amendments of 1972, Sections 503 and 504 of the Rehabilitation Acts of 1973, and the American with Disabilities Act of 1990, the parties hereto will not discriminate on the basis of race, sex, religion, color, national or ethnic origin, age, disability, sexual orientation or military service. </w:t>
      </w:r>
    </w:p>
    <w:p>
      <w:pPr>
        <w:pStyle w:val="Normal"/>
        <w:rPr/>
      </w:pPr>
      <w:r>
        <w:rPr/>
      </w:r>
    </w:p>
    <w:p>
      <w:pPr>
        <w:pStyle w:val="ListParagraph"/>
        <w:numPr>
          <w:ilvl w:val="0"/>
          <w:numId w:val="1"/>
        </w:numPr>
        <w:rPr/>
      </w:pPr>
      <w:r>
        <w:rPr>
          <w:b/>
          <w:bCs/>
        </w:rPr>
        <w:t>INDEPENDENT NATURE OF PARTIES</w:t>
      </w:r>
      <w:r>
        <w:rPr/>
        <w:t>. ________________</w:t>
      </w:r>
      <w:r>
        <w:rPr>
          <w:b/>
          <w:bCs/>
        </w:rPr>
        <w:t xml:space="preserve"> </w:t>
      </w:r>
      <w:r>
        <w:rPr/>
        <w:t xml:space="preserve">provides services to Client as an independent contractor. Neither party to this Agreement shall make any commitments, nor incur any charges or expenses for, or in the name of, the other party, nor be considered the agent, partner, joint venturer, franchisor, franchisee, employer, or employee of the other party. </w:t>
      </w:r>
    </w:p>
    <w:p>
      <w:pPr>
        <w:pStyle w:val="Normal"/>
        <w:rPr/>
      </w:pPr>
      <w:r>
        <w:rPr/>
      </w:r>
    </w:p>
    <w:p>
      <w:pPr>
        <w:pStyle w:val="ListParagraph"/>
        <w:numPr>
          <w:ilvl w:val="0"/>
          <w:numId w:val="1"/>
        </w:numPr>
        <w:rPr/>
      </w:pPr>
      <w:r>
        <w:rPr>
          <w:b/>
          <w:bCs/>
        </w:rPr>
        <w:t>INDEMNIFICATION; DISCLAIMER.</w:t>
      </w:r>
      <w:r>
        <w:rPr/>
        <w:t xml:space="preserve"> To the fullest extent permitted by law, each party to this Agreement agrees to defend, indemnify and hold the other party harmless from any claims, damages, interest, penalties, and attorneys' fees and costs (for purposes of this sentence, "claims") for third party claims arising out of (i) any breach of this Agreement by such party or its agents; (ii) violations of applicable law by such party or its agents; and (iii) negligent or willful acts or omissions of such party or its agents. NOTWITHSTANDING ANY OTHER AGREEMENT OR PROVISION TO THE CONTRARY IN THIS AGREEMENT, UNDER NO CIRCUMSTANCES WILL EITHER PARTY HERETO BE LIABLE FOR ANY INDIRECT, SPECIAL OR CONSEQUENTIAL DAMAGES OF ANY KIND INCLUDING, BUT NOT LIMITED TO, FINES OR PENALTIES AND LOSS OF PROFITS, WHETHER IN CONTRACT, TORT, WARRANTY OR OTHERWISE, WHETHER OR NOT A PARTY HAS BEEN ADVISED OF THE POSSIBILITY OF SUCH LOSS OR DAMAGE. In the event any Candidate makes a claim for wage and hour violation, Client shall immediately notify ________________. If, in agreement between Client and ________________, it is determined that paying a meal, rest or recovery period premium to those Candidates who have missed any rest, meal, and/or recovery break(s) is advisable, then ________________, with approval from Client may bill Client for said premium payment and Client hereby agrees to be responsible and indemnify ________________</w:t>
      </w:r>
      <w:r>
        <w:rPr>
          <w:b/>
          <w:bCs/>
        </w:rPr>
        <w:t xml:space="preserve"> </w:t>
      </w:r>
      <w:r>
        <w:rPr/>
        <w:t>for and to make such payment. Client acknowledges and agrees that the Candidates who perform work for Client are provided by ________________</w:t>
      </w:r>
      <w:r>
        <w:rPr>
          <w:b/>
          <w:bCs/>
        </w:rPr>
        <w:t xml:space="preserve"> </w:t>
      </w:r>
      <w:r>
        <w:rPr/>
        <w:t xml:space="preserve">for the sole purpose of supplementing Client's existing workforce, and Client hereby expressly disclaims any representation or warranty that such Candidates will enable Client to attain any particular goal or objective or provide Client with any solution to any particular problem. Notwithstanding anything to the contrary in this Agreement, this section shall survive any termination or expiration of this Agreement. </w:t>
      </w:r>
    </w:p>
    <w:p>
      <w:pPr>
        <w:pStyle w:val="ListParagraph"/>
        <w:rPr/>
      </w:pPr>
      <w:r>
        <w:rPr/>
      </w:r>
    </w:p>
    <w:p>
      <w:pPr>
        <w:pStyle w:val="ListParagraph"/>
        <w:numPr>
          <w:ilvl w:val="0"/>
          <w:numId w:val="1"/>
        </w:numPr>
        <w:rPr/>
      </w:pPr>
      <w:r>
        <w:rPr>
          <w:b/>
          <w:bCs/>
        </w:rPr>
        <w:t>SUBCONTRACTORS.</w:t>
      </w:r>
      <w:r>
        <w:rPr/>
        <w:t xml:space="preserve"> ________________</w:t>
      </w:r>
      <w:r>
        <w:rPr>
          <w:b/>
          <w:bCs/>
        </w:rPr>
        <w:t xml:space="preserve"> </w:t>
      </w:r>
      <w:r>
        <w:rPr/>
        <w:t xml:space="preserve">may use subcontractors to furnish Candidates for the purposes of this Agreement. </w:t>
      </w:r>
    </w:p>
    <w:p>
      <w:pPr>
        <w:pStyle w:val="Normal"/>
        <w:rPr/>
      </w:pPr>
      <w:r>
        <w:rPr/>
      </w:r>
    </w:p>
    <w:p>
      <w:pPr>
        <w:pStyle w:val="ListParagraph"/>
        <w:numPr>
          <w:ilvl w:val="0"/>
          <w:numId w:val="1"/>
        </w:numPr>
        <w:rPr/>
      </w:pPr>
      <w:r>
        <w:rPr>
          <w:b/>
          <w:bCs/>
        </w:rPr>
        <w:t>FORCE MAJEURE.</w:t>
      </w:r>
      <w:r>
        <w:rPr/>
        <w:t xml:space="preserve"> ________________</w:t>
      </w:r>
      <w:r>
        <w:rPr>
          <w:b/>
          <w:bCs/>
        </w:rPr>
        <w:t xml:space="preserve"> </w:t>
      </w:r>
      <w:r>
        <w:rPr/>
        <w:t xml:space="preserve">shall not be responsible for failure or delay in providing, or continuing to provide Candidates to Client under this Agreement if such failure or delay is due to labor disputes, strikes, fires, riots, war, acts of God, voluntary termination by such Candidates or any other acts, causes or occurrences beyond the control of ________________. </w:t>
      </w:r>
    </w:p>
    <w:p>
      <w:pPr>
        <w:pStyle w:val="Normal"/>
        <w:rPr/>
      </w:pPr>
      <w:r>
        <w:rPr/>
      </w:r>
    </w:p>
    <w:p>
      <w:pPr>
        <w:pStyle w:val="ListParagraph"/>
        <w:numPr>
          <w:ilvl w:val="0"/>
          <w:numId w:val="1"/>
        </w:numPr>
        <w:rPr/>
      </w:pPr>
      <w:r>
        <w:rPr>
          <w:b/>
          <w:bCs/>
        </w:rPr>
        <w:t>ENTIRE AGREEMENT.</w:t>
      </w:r>
      <w:r>
        <w:rPr/>
        <w:t xml:space="preserve"> This Agreement, including all exhibits and addenda thereto, contains the entire agreement between the parties hereto relating to the subject matter hereof and all prior oral and written agreements, understandings, negotiations, commitments and practices between the parties are hereby superseded. No amendments to this Agreement may be made except by a written agreement signed by both the parties.</w:t>
      </w:r>
    </w:p>
    <w:p>
      <w:pPr>
        <w:pStyle w:val="Normal"/>
        <w:rPr/>
      </w:pPr>
      <w:r>
        <w:rPr/>
        <w:t xml:space="preserve"> </w:t>
      </w:r>
    </w:p>
    <w:p>
      <w:pPr>
        <w:pStyle w:val="ListParagraph"/>
        <w:numPr>
          <w:ilvl w:val="0"/>
          <w:numId w:val="1"/>
        </w:numPr>
        <w:rPr/>
      </w:pPr>
      <w:r>
        <w:rPr>
          <w:b/>
          <w:bCs/>
        </w:rPr>
        <w:t>TERM; TERMINATION.</w:t>
      </w:r>
      <w:r>
        <w:rPr/>
        <w:t xml:space="preserve"> The term of this Agreement shall be for a period of one (1) year. Either party may terminate the agreement, with or without cause, at any time upon thirty (30) days' written notice to the other party. Either party may also terminate this Agreement upon the occurrence of any of the following events (a "Termination for Cause"): (i) the other party has materially breached any of the terms or conditions of this Agreement and such breach, if capable of cure, is not cured by the breaching party within ten (10) calendar days following written notice to the breaching party, (ii) the other party dissolves; (iii) the other party becomes insolvent or institutes insolvency proceedings or files, or is subject to, a voluntary bankruptcy proceeding, petition, or action; (iv) the filing of relief against the other party of, or the other party is otherwise subject to, an involuntary bankruptcy proceeding, petition or action where such action is not removed or terminated within sixty (60) calendar days; (iv) the assignment by the other party of its property for the benefit of creditors; or (v) the appointment of any receiver, trustee or liquidator for the other party or for any property of the other party, where such appointment is not removed or terminated within sixty (60) calendar days. If either party terminates this Agreement (other than a Termination for Cause by ________________), all Candidates then on an assignment will continue on and complete their assignments, in accordance with the terms of this Agreement. </w:t>
      </w:r>
    </w:p>
    <w:p>
      <w:pPr>
        <w:pStyle w:val="ListParagraph"/>
        <w:rPr/>
      </w:pPr>
      <w:r>
        <w:rPr/>
      </w:r>
    </w:p>
    <w:p>
      <w:pPr>
        <w:pStyle w:val="ListParagraph"/>
        <w:numPr>
          <w:ilvl w:val="0"/>
          <w:numId w:val="1"/>
        </w:numPr>
        <w:rPr/>
      </w:pPr>
      <w:r>
        <w:rPr>
          <w:b/>
          <w:bCs/>
        </w:rPr>
        <w:t>SEVERABILITY.</w:t>
      </w:r>
      <w:r>
        <w:rPr/>
        <w:t xml:space="preserve"> If any provision of this Agreement is held to be invalid, void or unenforceable, all other provisions shall remain valid and be enforced and construed as if such invalid provision were never a part of this Agreement. </w:t>
      </w:r>
    </w:p>
    <w:p>
      <w:pPr>
        <w:pStyle w:val="Normal"/>
        <w:rPr/>
      </w:pPr>
      <w:r>
        <w:rPr/>
      </w:r>
    </w:p>
    <w:p>
      <w:pPr>
        <w:pStyle w:val="ListParagraph"/>
        <w:numPr>
          <w:ilvl w:val="0"/>
          <w:numId w:val="1"/>
        </w:numPr>
        <w:rPr/>
      </w:pPr>
      <w:r>
        <w:rPr>
          <w:b/>
          <w:bCs/>
        </w:rPr>
        <w:t>GOVERNING LAW; ARBITRATION.</w:t>
      </w:r>
      <w:r>
        <w:rPr/>
        <w:t xml:space="preserve"> The parties hereto agree that this Agreement will be governed by and construed in accordance with the laws of the State of </w:t>
      </w:r>
      <w:r>
        <w:rPr>
          <w:highlight w:val="cyan"/>
        </w:rPr>
        <w:t>________________</w:t>
      </w:r>
      <w:r>
        <w:rPr>
          <w:b/>
          <w:bCs/>
        </w:rPr>
        <w:t xml:space="preserve"> </w:t>
      </w:r>
      <w:r>
        <w:rPr/>
        <w:t xml:space="preserve">without reference to its choice of law rules and as if wholly performed within the State of </w:t>
      </w:r>
      <w:r>
        <w:rPr>
          <w:highlight w:val="cyan"/>
        </w:rPr>
        <w:t>________________.</w:t>
      </w:r>
      <w:r>
        <w:rPr/>
        <w:t xml:space="preserve"> Any dispute, controversy or claim arising out of or relating to this Agreement shall be submitted to binding arbitration before the office of </w:t>
      </w:r>
      <w:r>
        <w:rPr>
          <w:highlight w:val="cyan"/>
        </w:rPr>
        <w:t>________________________________</w:t>
      </w:r>
      <w:r>
        <w:rPr>
          <w:b/>
          <w:bCs/>
        </w:rPr>
        <w:t xml:space="preserve"> </w:t>
      </w:r>
      <w:r>
        <w:rPr/>
        <w:t xml:space="preserve">located in </w:t>
      </w:r>
      <w:r>
        <w:rPr>
          <w:highlight w:val="cyan"/>
        </w:rPr>
        <w:t>________________</w:t>
      </w:r>
      <w:r>
        <w:rPr/>
        <w:t xml:space="preserve"> </w:t>
      </w:r>
      <w:r>
        <w:rPr>
          <w:highlight w:val="cyan"/>
        </w:rPr>
        <w:t>________________,</w:t>
      </w:r>
      <w:r>
        <w:rPr/>
        <w:t xml:space="preserve"> as the exclusive remedy. The arbitrator shall have exclusive authority to resolve any dispute relating to the interpretation, applicability, enforceability, or formation of this Agreement, including, but not limited to, any claim that all or any part of this Agreement is void or voidable. Either party may file a motion for summary judgment with the arbitrator. The arbitrator is entitled to resolve some or all of the asserted claims through such a motion applying the applicable laws as specified in this Agreement. Discovery shall be allowed and conducted pursuant to the then-applicable arbitration rules of </w:t>
      </w:r>
      <w:r>
        <w:rPr>
          <w:highlight w:val="cyan"/>
        </w:rPr>
        <w:t>________________,</w:t>
      </w:r>
      <w:r>
        <w:rPr/>
        <w:t xml:space="preserve"> provided that the parties shall be entitled to discovery sufficient to adequately arbitrate their claims and defenses. The arbitrator is authorized to rule on discovery motions brought under the applicable discovery rules. The arbitration costs shall be borne equally by the parties hereto. Each party shall bear its own attorneys' fees and expenses in the conduct of such arbitration. </w:t>
      </w:r>
    </w:p>
    <w:p>
      <w:pPr>
        <w:pStyle w:val="ListParagraph"/>
        <w:rPr/>
      </w:pPr>
      <w:r>
        <w:rPr/>
      </w:r>
    </w:p>
    <w:p>
      <w:pPr>
        <w:pStyle w:val="ListParagraph"/>
        <w:numPr>
          <w:ilvl w:val="0"/>
          <w:numId w:val="1"/>
        </w:numPr>
        <w:rPr/>
      </w:pPr>
      <w:r>
        <w:rPr>
          <w:b/>
          <w:bCs/>
        </w:rPr>
        <w:t>NOTICES.</w:t>
      </w:r>
      <w:r>
        <w:rPr/>
        <w:t xml:space="preserve"> All notices, requests, demands or other communications under this Agreement shall be in writing and shall be deemed to have been duly given on the date of service if served personally on the party to whom notice is to be given, or on the second day after mailing if mailed to the party to whom notice is to be given, by first class mail, registered or certified, postage prepaid, and properly addressed as provided below. Any party may change its address for purposes of this paragraph by giving the other party written notice of the new address in the manner set forth above. </w:t>
      </w:r>
    </w:p>
    <w:p>
      <w:pPr>
        <w:pStyle w:val="Normal"/>
        <w:rPr/>
      </w:pPr>
      <w:r>
        <w:rPr/>
      </w:r>
    </w:p>
    <w:p>
      <w:pPr>
        <w:pStyle w:val="ListParagraph"/>
        <w:numPr>
          <w:ilvl w:val="0"/>
          <w:numId w:val="1"/>
        </w:numPr>
        <w:rPr/>
      </w:pPr>
      <w:r>
        <w:rPr>
          <w:b/>
          <w:bCs/>
        </w:rPr>
        <w:t>HEADINGS.</w:t>
      </w:r>
      <w:r>
        <w:rPr/>
        <w:t xml:space="preserve"> The titles of the articles, sections, subsections, paragraphs and subparagraphs of this Agreement are for convenience of reference only and are not to be considered in construing this Agreement.</w:t>
      </w:r>
    </w:p>
    <w:p>
      <w:pPr>
        <w:pStyle w:val="Normal"/>
        <w:rPr/>
      </w:pPr>
      <w:r>
        <w:rPr/>
        <w:t xml:space="preserve"> </w:t>
      </w:r>
    </w:p>
    <w:p>
      <w:pPr>
        <w:pStyle w:val="ListParagraph"/>
        <w:numPr>
          <w:ilvl w:val="0"/>
          <w:numId w:val="1"/>
        </w:numPr>
        <w:rPr/>
      </w:pPr>
      <w:r>
        <w:rPr>
          <w:b/>
          <w:bCs/>
        </w:rPr>
        <w:t>COUNTERPARTS.</w:t>
      </w:r>
      <w:r>
        <w:rPr/>
        <w:t xml:space="preserve"> This Agreement may be executed in one or more counterparts, each of which shall be deemed an original but all of which together shall constitute one and the same instrument.</w:t>
      </w:r>
    </w:p>
    <w:p>
      <w:pPr>
        <w:pStyle w:val="ListParagraph"/>
        <w:rPr/>
      </w:pPr>
      <w:r>
        <w:rPr/>
      </w:r>
    </w:p>
    <w:p>
      <w:pPr>
        <w:pStyle w:val="Normal"/>
        <w:jc w:val="center"/>
        <w:rPr/>
      </w:pPr>
      <w:r>
        <w:rPr/>
        <w:t>[SIGNATURE PAGE FOLLOWS]</w:t>
      </w:r>
    </w:p>
    <w:p>
      <w:pPr>
        <w:pStyle w:val="ListParagraph"/>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 xml:space="preserve">AGREED AND ACCEPTED </w:t>
      </w:r>
    </w:p>
    <w:p>
      <w:pPr>
        <w:pStyle w:val="Normal"/>
        <w:rPr/>
      </w:pPr>
      <w:r>
        <w:rPr/>
      </w:r>
    </w:p>
    <w:p>
      <w:pPr>
        <w:pStyle w:val="Normal"/>
        <w:rPr/>
      </w:pPr>
      <w:r>
        <w:rPr/>
        <w:t>Company Name</w:t>
        <w:tab/>
        <w:tab/>
        <w:tab/>
        <w:tab/>
        <w:tab/>
        <w:t>Company Name</w:t>
      </w:r>
    </w:p>
    <w:p>
      <w:pPr>
        <w:pStyle w:val="Normal"/>
        <w:rPr/>
      </w:pPr>
      <w:r>
        <w:rPr/>
        <w:t>Company Address</w:t>
        <w:tab/>
        <w:tab/>
        <w:tab/>
        <w:tab/>
        <w:tab/>
        <w:t>Company Address</w:t>
      </w:r>
    </w:p>
    <w:p>
      <w:pPr>
        <w:pStyle w:val="Normal"/>
        <w:rPr/>
      </w:pPr>
      <w:r>
        <w:rPr/>
        <w:t>Company City, State Zip</w:t>
        <w:tab/>
        <w:tab/>
        <w:tab/>
        <w:tab/>
        <w:t>Company City, State Zip</w:t>
      </w:r>
    </w:p>
    <w:p>
      <w:pPr>
        <w:pStyle w:val="Normal"/>
        <w:rPr/>
      </w:pPr>
      <w:r>
        <w:rPr/>
        <w:t xml:space="preserve">Phone: </w:t>
        <w:tab/>
        <w:tab/>
        <w:tab/>
        <w:tab/>
        <w:tab/>
        <w:tab/>
        <w:t xml:space="preserve">Phone: </w:t>
      </w:r>
    </w:p>
    <w:p>
      <w:pPr>
        <w:pStyle w:val="Normal"/>
        <w:rPr/>
      </w:pPr>
      <w:r>
        <w:rPr/>
        <w:t xml:space="preserve">Website: </w:t>
        <w:tab/>
        <w:tab/>
        <w:tab/>
        <w:tab/>
        <w:tab/>
        <w:tab/>
        <w:t xml:space="preserve">Website: </w:t>
      </w:r>
    </w:p>
    <w:p>
      <w:pPr>
        <w:pStyle w:val="Normal"/>
        <w:rPr/>
      </w:pPr>
      <w:r>
        <w:rPr/>
      </w:r>
    </w:p>
    <w:p>
      <w:pPr>
        <w:pStyle w:val="Normal"/>
        <w:rPr/>
      </w:pPr>
      <w:r>
        <w:rPr/>
      </w:r>
    </w:p>
    <w:p>
      <w:pPr>
        <w:pStyle w:val="Normal"/>
        <w:rPr/>
      </w:pPr>
      <w:r>
        <w:rPr/>
        <w:t>By: _______________________</w:t>
        <w:tab/>
        <w:tab/>
        <w:tab/>
        <w:t>By: ______________________</w:t>
      </w:r>
    </w:p>
    <w:p>
      <w:pPr>
        <w:pStyle w:val="Normal"/>
        <w:ind w:firstLine="720"/>
        <w:rPr/>
      </w:pPr>
      <w:r>
        <w:rPr/>
        <w:t xml:space="preserve">Signature </w:t>
        <w:tab/>
        <w:tab/>
        <w:tab/>
        <w:tab/>
        <w:tab/>
        <w:tab/>
        <w:t xml:space="preserve">Signature </w:t>
      </w:r>
    </w:p>
    <w:p>
      <w:pPr>
        <w:pStyle w:val="Normal"/>
        <w:rPr/>
      </w:pPr>
      <w:r>
        <w:rPr/>
      </w:r>
    </w:p>
    <w:p>
      <w:pPr>
        <w:pStyle w:val="Normal"/>
        <w:rPr/>
      </w:pPr>
      <w:r>
        <w:rPr/>
        <w:t>___________________________</w:t>
        <w:tab/>
        <w:tab/>
        <w:tab/>
        <w:t>__________________________</w:t>
      </w:r>
    </w:p>
    <w:p>
      <w:pPr>
        <w:pStyle w:val="Normal"/>
        <w:rPr/>
      </w:pPr>
      <w:r>
        <w:rPr/>
        <w:t xml:space="preserve">Name </w:t>
        <w:tab/>
        <w:tab/>
        <w:tab/>
        <w:tab/>
        <w:tab/>
        <w:tab/>
        <w:tab/>
        <w:t xml:space="preserve">Name </w:t>
      </w:r>
    </w:p>
    <w:p>
      <w:pPr>
        <w:pStyle w:val="Normal"/>
        <w:rPr/>
      </w:pPr>
      <w:r>
        <w:rPr/>
      </w:r>
    </w:p>
    <w:p>
      <w:pPr>
        <w:pStyle w:val="Normal"/>
        <w:rPr/>
      </w:pPr>
      <w:r>
        <w:rPr/>
        <w:t>___________________________</w:t>
        <w:tab/>
        <w:tab/>
        <w:tab/>
        <w:t>__________________________</w:t>
      </w:r>
    </w:p>
    <w:p>
      <w:pPr>
        <w:pStyle w:val="Normal"/>
        <w:rPr/>
      </w:pPr>
      <w:r>
        <w:rPr/>
        <w:t xml:space="preserve">Title </w:t>
        <w:tab/>
        <w:tab/>
        <w:tab/>
        <w:tab/>
        <w:tab/>
        <w:tab/>
        <w:tab/>
        <w:t xml:space="preserve">Title </w:t>
      </w:r>
    </w:p>
    <w:p>
      <w:pPr>
        <w:pStyle w:val="Normal"/>
        <w:rPr/>
      </w:pPr>
      <w:r>
        <w:rPr/>
      </w:r>
    </w:p>
    <w:p>
      <w:pPr>
        <w:pStyle w:val="Normal"/>
        <w:rPr/>
      </w:pPr>
      <w:r>
        <w:rPr/>
        <w:t>___________________________</w:t>
        <w:tab/>
        <w:tab/>
        <w:tab/>
        <w:t>__________________________</w:t>
      </w:r>
    </w:p>
    <w:p>
      <w:pPr>
        <w:pStyle w:val="Normal"/>
        <w:rPr/>
      </w:pPr>
      <w:r>
        <w:rPr/>
        <w:t xml:space="preserve">Date </w:t>
        <w:tab/>
        <w:tab/>
        <w:tab/>
        <w:tab/>
        <w:tab/>
        <w:tab/>
        <w:tab/>
        <w:t>Date</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bCs/>
        </w:rPr>
      </w:pPr>
      <w:r>
        <w:rPr>
          <w:b/>
          <w:bCs/>
        </w:rPr>
        <w:t>Exhibit "A"</w:t>
      </w:r>
    </w:p>
    <w:p>
      <w:pPr>
        <w:pStyle w:val="Normal"/>
        <w:jc w:val="center"/>
        <w:rPr>
          <w:b/>
          <w:bCs/>
        </w:rPr>
      </w:pPr>
      <w:r>
        <w:rPr>
          <w:b/>
          <w:bCs/>
        </w:rPr>
        <w:t>HEALTHCARE MASTER SERVICE AGREEMENT</w:t>
      </w:r>
    </w:p>
    <w:p>
      <w:pPr>
        <w:pStyle w:val="Normal"/>
        <w:jc w:val="center"/>
        <w:rPr>
          <w:b/>
          <w:bCs/>
        </w:rPr>
      </w:pPr>
      <w:r>
        <w:rPr>
          <w:b/>
          <w:bCs/>
        </w:rPr>
        <w:t>FOR</w:t>
      </w:r>
    </w:p>
    <w:p>
      <w:pPr>
        <w:pStyle w:val="Normal"/>
        <w:jc w:val="center"/>
        <w:rPr>
          <w:b/>
          <w:bCs/>
        </w:rPr>
      </w:pPr>
      <w:r>
        <w:rPr>
          <w:b/>
          <w:bCs/>
        </w:rPr>
        <w:t>STAFFING HEALTHCARE PROFESSIONALS</w:t>
      </w:r>
    </w:p>
    <w:p>
      <w:pPr>
        <w:pStyle w:val="Normal"/>
        <w:rPr/>
      </w:pPr>
      <w:r>
        <w:rPr/>
      </w:r>
    </w:p>
    <w:p>
      <w:pPr>
        <w:pStyle w:val="Normal"/>
        <w:rPr/>
      </w:pPr>
      <w:r>
        <w:rPr/>
        <w:t>The following hospitals and clinics are "Participating Hospitals' in this agreement:</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bCs/>
        </w:rPr>
      </w:pPr>
      <w:r>
        <w:rPr>
          <w:b/>
          <w:bCs/>
        </w:rPr>
      </w:r>
    </w:p>
    <w:p>
      <w:pPr>
        <w:pStyle w:val="Normal"/>
        <w:jc w:val="center"/>
        <w:rPr>
          <w:b/>
          <w:bCs/>
        </w:rPr>
      </w:pPr>
      <w:r>
        <w:rPr>
          <w:b/>
          <w:bCs/>
        </w:rPr>
        <w:t>Addendum "A"</w:t>
      </w:r>
    </w:p>
    <w:p>
      <w:pPr>
        <w:pStyle w:val="Normal"/>
        <w:jc w:val="center"/>
        <w:rPr>
          <w:b/>
          <w:bCs/>
        </w:rPr>
      </w:pPr>
      <w:r>
        <w:rPr>
          <w:b/>
          <w:bCs/>
        </w:rPr>
        <w:t>HEALTHCARE MASTER SERVICE AGREEMENT</w:t>
      </w:r>
    </w:p>
    <w:p>
      <w:pPr>
        <w:pStyle w:val="Normal"/>
        <w:jc w:val="center"/>
        <w:rPr>
          <w:b/>
          <w:bCs/>
        </w:rPr>
      </w:pPr>
      <w:r>
        <w:rPr>
          <w:b/>
          <w:bCs/>
        </w:rPr>
        <w:t>FOR</w:t>
      </w:r>
    </w:p>
    <w:p>
      <w:pPr>
        <w:pStyle w:val="Normal"/>
        <w:jc w:val="center"/>
        <w:rPr>
          <w:b/>
          <w:bCs/>
        </w:rPr>
      </w:pPr>
      <w:r>
        <w:rPr>
          <w:b/>
          <w:bCs/>
        </w:rPr>
        <w:t>STAFFING HEALTHCARE PROFESSIONAL</w:t>
      </w:r>
    </w:p>
    <w:p>
      <w:pPr>
        <w:pStyle w:val="Normal"/>
        <w:jc w:val="center"/>
        <w:rPr>
          <w:b/>
          <w:bCs/>
        </w:rPr>
      </w:pPr>
      <w:r>
        <w:rPr>
          <w:b/>
          <w:bCs/>
        </w:rPr>
        <w:t>TRAVEL CANDIDATES RATE SCHEDULE - NURSING</w:t>
      </w:r>
    </w:p>
    <w:p>
      <w:pPr>
        <w:pStyle w:val="Normal"/>
        <w:rPr/>
      </w:pPr>
      <w:r>
        <w:rPr/>
      </w:r>
    </w:p>
    <w:tbl>
      <w:tblPr>
        <w:tblStyle w:val="TableGrid"/>
        <w:tblW w:w="8995"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944"/>
        <w:gridCol w:w="1530"/>
        <w:gridCol w:w="1260"/>
        <w:gridCol w:w="1260"/>
      </w:tblGrid>
      <w:tr>
        <w:trPr/>
        <w:tc>
          <w:tcPr>
            <w:tcW w:w="4944" w:type="dxa"/>
            <w:tcBorders/>
          </w:tcPr>
          <w:p>
            <w:pPr>
              <w:pStyle w:val="Normal"/>
              <w:widowControl/>
              <w:spacing w:before="0" w:after="0"/>
              <w:jc w:val="start"/>
              <w:rPr>
                <w:b/>
                <w:bCs/>
              </w:rPr>
            </w:pPr>
            <w:r>
              <w:rPr>
                <w:b/>
                <w:bCs/>
                <w:kern w:val="0"/>
                <w:sz w:val="24"/>
                <w:szCs w:val="24"/>
                <w:lang w:val="en-US" w:eastAsia="en-US" w:bidi="ar-SA"/>
              </w:rPr>
              <w:t>Health Professional</w:t>
            </w:r>
          </w:p>
        </w:tc>
        <w:tc>
          <w:tcPr>
            <w:tcW w:w="1530" w:type="dxa"/>
            <w:tcBorders/>
          </w:tcPr>
          <w:p>
            <w:pPr>
              <w:pStyle w:val="Normal"/>
              <w:widowControl/>
              <w:spacing w:before="0" w:after="0"/>
              <w:ind w:end="-122"/>
              <w:jc w:val="start"/>
              <w:rPr>
                <w:b/>
                <w:bCs/>
              </w:rPr>
            </w:pPr>
            <w:r>
              <w:rPr>
                <w:b/>
                <w:bCs/>
                <w:kern w:val="0"/>
                <w:sz w:val="24"/>
                <w:szCs w:val="24"/>
                <w:lang w:val="en-US" w:eastAsia="en-US" w:bidi="ar-SA"/>
              </w:rPr>
              <w:t>Regular</w:t>
            </w:r>
          </w:p>
        </w:tc>
        <w:tc>
          <w:tcPr>
            <w:tcW w:w="1260" w:type="dxa"/>
            <w:tcBorders/>
          </w:tcPr>
          <w:p>
            <w:pPr>
              <w:pStyle w:val="Normal"/>
              <w:widowControl/>
              <w:spacing w:before="0" w:after="0"/>
              <w:jc w:val="start"/>
              <w:rPr>
                <w:b/>
                <w:bCs/>
              </w:rPr>
            </w:pPr>
            <w:r>
              <w:rPr>
                <w:b/>
                <w:bCs/>
                <w:kern w:val="0"/>
                <w:sz w:val="24"/>
                <w:szCs w:val="24"/>
                <w:lang w:val="en-US" w:eastAsia="en-US" w:bidi="ar-SA"/>
              </w:rPr>
              <w:t>On-Call</w:t>
            </w:r>
          </w:p>
        </w:tc>
        <w:tc>
          <w:tcPr>
            <w:tcW w:w="1260" w:type="dxa"/>
            <w:tcBorders/>
          </w:tcPr>
          <w:p>
            <w:pPr>
              <w:pStyle w:val="Normal"/>
              <w:widowControl/>
              <w:spacing w:before="0" w:after="0"/>
              <w:jc w:val="start"/>
              <w:rPr>
                <w:b/>
                <w:bCs/>
              </w:rPr>
            </w:pPr>
            <w:r>
              <w:rPr>
                <w:b/>
                <w:bCs/>
                <w:kern w:val="0"/>
                <w:sz w:val="24"/>
                <w:szCs w:val="24"/>
                <w:lang w:val="en-US" w:eastAsia="en-US" w:bidi="ar-SA"/>
              </w:rPr>
              <w:t>Charge</w:t>
            </w:r>
          </w:p>
        </w:tc>
      </w:tr>
      <w:tr>
        <w:trPr/>
        <w:tc>
          <w:tcPr>
            <w:tcW w:w="4944" w:type="dxa"/>
            <w:tcBorders/>
          </w:tcPr>
          <w:p>
            <w:pPr>
              <w:pStyle w:val="Normal"/>
              <w:widowControl/>
              <w:spacing w:before="0" w:after="0"/>
              <w:jc w:val="start"/>
              <w:rPr>
                <w:b/>
                <w:bCs/>
              </w:rPr>
            </w:pPr>
            <w:r>
              <w:rPr>
                <w:b/>
                <w:bCs/>
                <w:kern w:val="0"/>
                <w:sz w:val="24"/>
                <w:szCs w:val="24"/>
                <w:lang w:val="en-US" w:eastAsia="en-US" w:bidi="ar-SA"/>
              </w:rPr>
              <w:t>NON-SPECIATLY RN</w:t>
            </w:r>
          </w:p>
          <w:p>
            <w:pPr>
              <w:pStyle w:val="Normal"/>
              <w:widowControl/>
              <w:spacing w:before="0" w:after="0"/>
              <w:jc w:val="start"/>
              <w:rPr>
                <w:kern w:val="0"/>
                <w:sz w:val="24"/>
                <w:szCs w:val="24"/>
                <w:lang w:val="en-US" w:eastAsia="en-US" w:bidi="ar-SA"/>
              </w:rPr>
            </w:pPr>
            <w:r>
              <w:rPr>
                <w:kern w:val="0"/>
                <w:sz w:val="24"/>
                <w:szCs w:val="24"/>
                <w:lang w:val="en-US" w:eastAsia="en-US" w:bidi="ar-SA"/>
              </w:rPr>
              <w:t>(Ambulatory, LTC, MS, Nursery, Occupational Health, Psych, Rehab, SNF)</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$5.00</w:t>
            </w:r>
          </w:p>
        </w:tc>
      </w:tr>
      <w:tr>
        <w:trPr/>
        <w:tc>
          <w:tcPr>
            <w:tcW w:w="4944" w:type="dxa"/>
            <w:tcBorders/>
          </w:tcPr>
          <w:p>
            <w:pPr>
              <w:pStyle w:val="Normal"/>
              <w:widowControl/>
              <w:spacing w:before="0" w:after="0"/>
              <w:jc w:val="start"/>
              <w:rPr>
                <w:b/>
                <w:bCs/>
              </w:rPr>
            </w:pPr>
            <w:r>
              <w:rPr>
                <w:b/>
                <w:bCs/>
                <w:kern w:val="0"/>
                <w:sz w:val="24"/>
                <w:szCs w:val="24"/>
                <w:lang w:val="en-US" w:eastAsia="en-US" w:bidi="ar-SA"/>
              </w:rPr>
              <w:t>SPECIALTY / RN</w:t>
            </w:r>
          </w:p>
          <w:p>
            <w:pPr>
              <w:pStyle w:val="Normal"/>
              <w:widowControl/>
              <w:spacing w:before="0" w:after="0"/>
              <w:jc w:val="start"/>
              <w:rPr>
                <w:i/>
                <w:i/>
                <w:iCs/>
              </w:rPr>
            </w:pPr>
            <w:r>
              <w:rPr>
                <w:i/>
                <w:iCs/>
                <w:kern w:val="0"/>
                <w:sz w:val="24"/>
                <w:szCs w:val="24"/>
                <w:lang w:val="en-US" w:eastAsia="en-US" w:bidi="ar-SA"/>
              </w:rPr>
              <w:t>MS/Tele</w:t>
            </w:r>
          </w:p>
          <w:p>
            <w:pPr>
              <w:pStyle w:val="Normal"/>
              <w:widowControl/>
              <w:spacing w:before="0" w:after="0"/>
              <w:jc w:val="start"/>
              <w:rPr>
                <w:i/>
                <w:i/>
                <w:iCs/>
              </w:rPr>
            </w:pPr>
            <w:r>
              <w:rPr>
                <w:i/>
                <w:iCs/>
                <w:kern w:val="0"/>
                <w:sz w:val="24"/>
                <w:szCs w:val="24"/>
                <w:lang w:val="en-US" w:eastAsia="en-US" w:bidi="ar-SA"/>
              </w:rPr>
              <w:t>HH/Hospice</w:t>
            </w:r>
          </w:p>
          <w:p>
            <w:pPr>
              <w:pStyle w:val="Normal"/>
              <w:widowControl/>
              <w:spacing w:before="0" w:after="0"/>
              <w:jc w:val="start"/>
              <w:rPr>
                <w:i/>
                <w:i/>
                <w:iCs/>
              </w:rPr>
            </w:pPr>
            <w:r>
              <w:rPr>
                <w:i/>
                <w:iCs/>
                <w:kern w:val="0"/>
                <w:sz w:val="24"/>
                <w:szCs w:val="24"/>
                <w:lang w:val="en-US" w:eastAsia="en-US" w:bidi="ar-SA"/>
              </w:rPr>
              <w:t>Oncology</w:t>
            </w:r>
          </w:p>
          <w:p>
            <w:pPr>
              <w:pStyle w:val="Normal"/>
              <w:widowControl/>
              <w:spacing w:before="0" w:after="0"/>
              <w:jc w:val="start"/>
              <w:rPr>
                <w:i/>
                <w:i/>
                <w:iCs/>
              </w:rPr>
            </w:pPr>
            <w:r>
              <w:rPr>
                <w:i/>
                <w:iCs/>
                <w:kern w:val="0"/>
                <w:sz w:val="24"/>
                <w:szCs w:val="24"/>
                <w:lang w:val="en-US" w:eastAsia="en-US" w:bidi="ar-SA"/>
              </w:rPr>
              <w:t>PACU</w:t>
            </w:r>
          </w:p>
          <w:p>
            <w:pPr>
              <w:pStyle w:val="Normal"/>
              <w:widowControl/>
              <w:spacing w:before="0" w:after="0"/>
              <w:jc w:val="start"/>
              <w:rPr>
                <w:i/>
                <w:i/>
                <w:iCs/>
              </w:rPr>
            </w:pPr>
            <w:r>
              <w:rPr>
                <w:i/>
                <w:iCs/>
                <w:kern w:val="0"/>
                <w:sz w:val="24"/>
                <w:szCs w:val="24"/>
                <w:lang w:val="en-US" w:eastAsia="en-US" w:bidi="ar-SA"/>
              </w:rPr>
              <w:t>Step-Down</w:t>
            </w:r>
          </w:p>
          <w:p>
            <w:pPr>
              <w:pStyle w:val="Normal"/>
              <w:widowControl/>
              <w:spacing w:before="0" w:after="0"/>
              <w:jc w:val="start"/>
              <w:rPr>
                <w:i/>
                <w:i/>
                <w:iCs/>
              </w:rPr>
            </w:pPr>
            <w:r>
              <w:rPr>
                <w:i/>
                <w:iCs/>
                <w:kern w:val="0"/>
                <w:sz w:val="24"/>
                <w:szCs w:val="24"/>
                <w:lang w:val="en-US" w:eastAsia="en-US" w:bidi="ar-SA"/>
              </w:rPr>
              <w:t>Tele</w:t>
            </w:r>
          </w:p>
          <w:p>
            <w:pPr>
              <w:pStyle w:val="Normal"/>
              <w:widowControl/>
              <w:spacing w:before="0" w:after="0"/>
              <w:jc w:val="start"/>
              <w:rPr>
                <w:kern w:val="0"/>
                <w:sz w:val="24"/>
                <w:szCs w:val="24"/>
                <w:lang w:val="en-US" w:eastAsia="en-US" w:bidi="ar-SA"/>
              </w:rPr>
            </w:pPr>
            <w:r>
              <w:rPr>
                <w:i/>
                <w:iCs/>
                <w:kern w:val="0"/>
                <w:sz w:val="24"/>
                <w:szCs w:val="24"/>
                <w:lang w:val="en-US" w:eastAsia="en-US" w:bidi="ar-SA"/>
              </w:rPr>
              <w:t>Wound Care</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$5.00</w:t>
            </w:r>
          </w:p>
        </w:tc>
      </w:tr>
      <w:tr>
        <w:trPr/>
        <w:tc>
          <w:tcPr>
            <w:tcW w:w="4944" w:type="dxa"/>
            <w:tcBorders/>
          </w:tcPr>
          <w:p>
            <w:pPr>
              <w:pStyle w:val="Normal"/>
              <w:widowControl/>
              <w:spacing w:before="0" w:after="0"/>
              <w:jc w:val="start"/>
              <w:rPr>
                <w:b/>
                <w:bCs/>
              </w:rPr>
            </w:pPr>
            <w:r>
              <w:rPr>
                <w:b/>
                <w:bCs/>
                <w:kern w:val="0"/>
                <w:sz w:val="24"/>
                <w:szCs w:val="24"/>
                <w:lang w:val="en-US" w:eastAsia="en-US" w:bidi="ar-SA"/>
              </w:rPr>
              <w:t>SPECIALTY II RN</w:t>
            </w:r>
          </w:p>
          <w:p>
            <w:pPr>
              <w:pStyle w:val="Normal"/>
              <w:widowControl/>
              <w:spacing w:before="0" w:after="0"/>
              <w:jc w:val="start"/>
              <w:rPr>
                <w:i/>
                <w:i/>
                <w:iCs/>
              </w:rPr>
            </w:pPr>
            <w:r>
              <w:rPr>
                <w:i/>
                <w:iCs/>
                <w:kern w:val="0"/>
                <w:sz w:val="24"/>
                <w:szCs w:val="24"/>
                <w:lang w:val="en-US" w:eastAsia="en-US" w:bidi="ar-SA"/>
              </w:rPr>
              <w:t>ER</w:t>
            </w:r>
          </w:p>
          <w:p>
            <w:pPr>
              <w:pStyle w:val="Normal"/>
              <w:widowControl/>
              <w:spacing w:before="0" w:after="0"/>
              <w:jc w:val="start"/>
              <w:rPr>
                <w:i/>
                <w:i/>
                <w:iCs/>
              </w:rPr>
            </w:pPr>
            <w:r>
              <w:rPr>
                <w:i/>
                <w:iCs/>
                <w:kern w:val="0"/>
                <w:sz w:val="24"/>
                <w:szCs w:val="24"/>
                <w:lang w:val="en-US" w:eastAsia="en-US" w:bidi="ar-SA"/>
              </w:rPr>
              <w:t>ICU</w:t>
            </w:r>
          </w:p>
          <w:p>
            <w:pPr>
              <w:pStyle w:val="Normal"/>
              <w:widowControl/>
              <w:spacing w:before="0" w:after="0"/>
              <w:jc w:val="start"/>
              <w:rPr>
                <w:i/>
                <w:i/>
                <w:iCs/>
              </w:rPr>
            </w:pPr>
            <w:r>
              <w:rPr>
                <w:i/>
                <w:iCs/>
                <w:kern w:val="0"/>
                <w:sz w:val="24"/>
                <w:szCs w:val="24"/>
                <w:lang w:val="en-US" w:eastAsia="en-US" w:bidi="ar-SA"/>
              </w:rPr>
              <w:t>L&amp;D</w:t>
            </w:r>
          </w:p>
          <w:p>
            <w:pPr>
              <w:pStyle w:val="Normal"/>
              <w:widowControl/>
              <w:spacing w:before="0" w:after="0"/>
              <w:jc w:val="start"/>
              <w:rPr>
                <w:kern w:val="0"/>
                <w:sz w:val="24"/>
                <w:szCs w:val="24"/>
                <w:lang w:val="en-US" w:eastAsia="en-US" w:bidi="ar-SA"/>
              </w:rPr>
            </w:pPr>
            <w:r>
              <w:rPr>
                <w:i/>
                <w:iCs/>
                <w:kern w:val="0"/>
                <w:sz w:val="24"/>
                <w:szCs w:val="24"/>
                <w:lang w:val="en-US" w:eastAsia="en-US" w:bidi="ar-SA"/>
              </w:rPr>
              <w:t>OR</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$5.00</w:t>
            </w:r>
          </w:p>
        </w:tc>
      </w:tr>
      <w:tr>
        <w:trPr/>
        <w:tc>
          <w:tcPr>
            <w:tcW w:w="4944" w:type="dxa"/>
            <w:tcBorders/>
          </w:tcPr>
          <w:p>
            <w:pPr>
              <w:pStyle w:val="Normal"/>
              <w:widowControl/>
              <w:spacing w:before="0" w:after="0"/>
              <w:jc w:val="start"/>
              <w:rPr>
                <w:b/>
                <w:bCs/>
              </w:rPr>
            </w:pPr>
            <w:r>
              <w:rPr>
                <w:b/>
                <w:bCs/>
                <w:kern w:val="0"/>
                <w:sz w:val="24"/>
                <w:szCs w:val="24"/>
                <w:lang w:val="en-US" w:eastAsia="en-US" w:bidi="ar-SA"/>
              </w:rPr>
              <w:t>SPECIALTY III RN</w:t>
            </w:r>
          </w:p>
          <w:p>
            <w:pPr>
              <w:pStyle w:val="Normal"/>
              <w:widowControl/>
              <w:spacing w:before="0" w:after="0"/>
              <w:jc w:val="start"/>
              <w:rPr>
                <w:i/>
                <w:i/>
                <w:iCs/>
              </w:rPr>
            </w:pPr>
            <w:r>
              <w:rPr>
                <w:i/>
                <w:iCs/>
                <w:kern w:val="0"/>
                <w:sz w:val="24"/>
                <w:szCs w:val="24"/>
                <w:lang w:val="en-US" w:eastAsia="en-US" w:bidi="ar-SA"/>
              </w:rPr>
              <w:t>Cath Lab</w:t>
            </w:r>
          </w:p>
          <w:p>
            <w:pPr>
              <w:pStyle w:val="Normal"/>
              <w:widowControl/>
              <w:spacing w:before="0" w:after="0"/>
              <w:jc w:val="start"/>
              <w:rPr>
                <w:i/>
                <w:i/>
                <w:iCs/>
              </w:rPr>
            </w:pPr>
            <w:r>
              <w:rPr>
                <w:i/>
                <w:iCs/>
                <w:kern w:val="0"/>
                <w:sz w:val="24"/>
                <w:szCs w:val="24"/>
                <w:lang w:val="en-US" w:eastAsia="en-US" w:bidi="ar-SA"/>
              </w:rPr>
              <w:t>CVICU</w:t>
            </w:r>
          </w:p>
          <w:p>
            <w:pPr>
              <w:pStyle w:val="Normal"/>
              <w:widowControl/>
              <w:spacing w:before="0" w:after="0"/>
              <w:jc w:val="start"/>
              <w:rPr>
                <w:i/>
                <w:i/>
                <w:iCs/>
              </w:rPr>
            </w:pPr>
            <w:r>
              <w:rPr>
                <w:i/>
                <w:iCs/>
                <w:kern w:val="0"/>
                <w:sz w:val="24"/>
                <w:szCs w:val="24"/>
                <w:lang w:val="en-US" w:eastAsia="en-US" w:bidi="ar-SA"/>
              </w:rPr>
              <w:t>CVOR</w:t>
            </w:r>
          </w:p>
          <w:p>
            <w:pPr>
              <w:pStyle w:val="Normal"/>
              <w:widowControl/>
              <w:spacing w:before="0" w:after="0"/>
              <w:jc w:val="start"/>
              <w:rPr>
                <w:i/>
                <w:i/>
                <w:iCs/>
              </w:rPr>
            </w:pPr>
            <w:r>
              <w:rPr>
                <w:i/>
                <w:iCs/>
                <w:kern w:val="0"/>
                <w:sz w:val="24"/>
                <w:szCs w:val="24"/>
                <w:lang w:val="en-US" w:eastAsia="en-US" w:bidi="ar-SA"/>
              </w:rPr>
              <w:t>NICU</w:t>
            </w:r>
          </w:p>
          <w:p>
            <w:pPr>
              <w:pStyle w:val="Normal"/>
              <w:widowControl/>
              <w:spacing w:before="0" w:after="0"/>
              <w:jc w:val="start"/>
              <w:rPr>
                <w:i/>
                <w:i/>
                <w:iCs/>
              </w:rPr>
            </w:pPr>
            <w:r>
              <w:rPr>
                <w:i/>
                <w:iCs/>
                <w:kern w:val="0"/>
                <w:sz w:val="24"/>
                <w:szCs w:val="24"/>
                <w:lang w:val="en-US" w:eastAsia="en-US" w:bidi="ar-SA"/>
              </w:rPr>
              <w:t>PICU</w:t>
            </w:r>
          </w:p>
          <w:p>
            <w:pPr>
              <w:pStyle w:val="Normal"/>
              <w:widowControl/>
              <w:spacing w:before="0" w:after="0"/>
              <w:jc w:val="start"/>
              <w:rPr>
                <w:kern w:val="0"/>
                <w:sz w:val="24"/>
                <w:szCs w:val="24"/>
                <w:lang w:val="en-US" w:eastAsia="en-US" w:bidi="ar-SA"/>
              </w:rPr>
            </w:pPr>
            <w:r>
              <w:rPr>
                <w:i/>
                <w:iCs/>
                <w:kern w:val="0"/>
                <w:sz w:val="24"/>
                <w:szCs w:val="24"/>
                <w:lang w:val="en-US" w:eastAsia="en-US" w:bidi="ar-SA"/>
              </w:rPr>
              <w:t>RNFA</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 xml:space="preserve">$5.00 </w:t>
            </w:r>
          </w:p>
        </w:tc>
      </w:tr>
      <w:tr>
        <w:trPr/>
        <w:tc>
          <w:tcPr>
            <w:tcW w:w="4944" w:type="dxa"/>
            <w:tcBorders/>
          </w:tcPr>
          <w:p>
            <w:pPr>
              <w:pStyle w:val="Normal"/>
              <w:widowControl/>
              <w:spacing w:before="0" w:after="0"/>
              <w:jc w:val="start"/>
              <w:rPr>
                <w:b/>
                <w:bCs/>
              </w:rPr>
            </w:pPr>
            <w:r>
              <w:rPr>
                <w:b/>
                <w:bCs/>
                <w:kern w:val="0"/>
                <w:sz w:val="24"/>
                <w:szCs w:val="24"/>
                <w:lang w:val="en-US" w:eastAsia="en-US" w:bidi="ar-SA"/>
              </w:rPr>
              <w:t>RN Management</w:t>
            </w:r>
          </w:p>
          <w:p>
            <w:pPr>
              <w:pStyle w:val="Normal"/>
              <w:widowControl/>
              <w:spacing w:before="0" w:after="0"/>
              <w:jc w:val="start"/>
              <w:rPr>
                <w:i/>
                <w:i/>
                <w:iCs/>
              </w:rPr>
            </w:pPr>
            <w:r>
              <w:rPr>
                <w:i/>
                <w:iCs/>
                <w:kern w:val="0"/>
                <w:sz w:val="24"/>
                <w:szCs w:val="24"/>
                <w:lang w:val="en-US" w:eastAsia="en-US" w:bidi="ar-SA"/>
              </w:rPr>
              <w:t>(House Super, Unit Manager)</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r>
          </w:p>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$5.00</w:t>
            </w:r>
          </w:p>
        </w:tc>
      </w:tr>
      <w:tr>
        <w:trPr/>
        <w:tc>
          <w:tcPr>
            <w:tcW w:w="4944" w:type="dxa"/>
            <w:tcBorders/>
          </w:tcPr>
          <w:p>
            <w:pPr>
              <w:pStyle w:val="Normal"/>
              <w:widowControl/>
              <w:spacing w:before="0" w:after="0"/>
              <w:jc w:val="start"/>
              <w:rPr>
                <w:b/>
                <w:bCs/>
              </w:rPr>
            </w:pPr>
            <w:r>
              <w:rPr>
                <w:b/>
                <w:bCs/>
                <w:kern w:val="0"/>
                <w:sz w:val="24"/>
                <w:szCs w:val="24"/>
                <w:lang w:val="en-US" w:eastAsia="en-US" w:bidi="ar-SA"/>
              </w:rPr>
              <w:t xml:space="preserve">Tech </w:t>
            </w:r>
          </w:p>
          <w:p>
            <w:pPr>
              <w:pStyle w:val="Normal"/>
              <w:widowControl/>
              <w:spacing w:before="0" w:after="0"/>
              <w:jc w:val="start"/>
              <w:rPr>
                <w:kern w:val="0"/>
                <w:sz w:val="24"/>
                <w:szCs w:val="24"/>
                <w:lang w:val="en-US" w:eastAsia="en-US" w:bidi="ar-SA"/>
              </w:rPr>
            </w:pPr>
            <w:r>
              <w:rPr>
                <w:kern w:val="0"/>
                <w:sz w:val="24"/>
                <w:szCs w:val="24"/>
                <w:lang w:val="en-US" w:eastAsia="en-US" w:bidi="ar-SA"/>
              </w:rPr>
              <w:t xml:space="preserve">        </w:t>
            </w:r>
            <w:r>
              <w:rPr>
                <w:kern w:val="0"/>
                <w:sz w:val="24"/>
                <w:szCs w:val="24"/>
                <w:lang w:val="en-US" w:eastAsia="en-US" w:bidi="ar-SA"/>
              </w:rPr>
              <w:t xml:space="preserve">OR Technician </w:t>
            </w:r>
          </w:p>
          <w:p>
            <w:pPr>
              <w:pStyle w:val="Normal"/>
              <w:widowControl/>
              <w:spacing w:before="0" w:after="0"/>
              <w:jc w:val="start"/>
              <w:rPr>
                <w:kern w:val="0"/>
                <w:sz w:val="24"/>
                <w:szCs w:val="24"/>
                <w:lang w:val="en-US" w:eastAsia="en-US" w:bidi="ar-SA"/>
              </w:rPr>
            </w:pPr>
            <w:r>
              <w:rPr>
                <w:kern w:val="0"/>
                <w:sz w:val="24"/>
                <w:szCs w:val="24"/>
                <w:lang w:val="en-US" w:eastAsia="en-US" w:bidi="ar-SA"/>
              </w:rPr>
              <w:t>CVOR Tech</w:t>
            </w:r>
          </w:p>
          <w:p>
            <w:pPr>
              <w:pStyle w:val="Normal"/>
              <w:widowControl/>
              <w:spacing w:before="0" w:after="0"/>
              <w:jc w:val="start"/>
              <w:rPr>
                <w:kern w:val="0"/>
                <w:sz w:val="24"/>
                <w:szCs w:val="24"/>
                <w:lang w:val="en-US" w:eastAsia="en-US" w:bidi="ar-SA"/>
              </w:rPr>
            </w:pPr>
            <w:r>
              <w:rPr>
                <w:kern w:val="0"/>
                <w:sz w:val="24"/>
                <w:szCs w:val="24"/>
                <w:lang w:val="en-US" w:eastAsia="en-US" w:bidi="ar-SA"/>
              </w:rPr>
              <w:t>Surgical Tech</w:t>
            </w:r>
          </w:p>
          <w:p>
            <w:pPr>
              <w:pStyle w:val="Normal"/>
              <w:widowControl/>
              <w:spacing w:before="0" w:after="0"/>
              <w:jc w:val="start"/>
              <w:rPr>
                <w:kern w:val="0"/>
                <w:sz w:val="24"/>
                <w:szCs w:val="24"/>
                <w:lang w:val="en-US" w:eastAsia="en-US" w:bidi="ar-SA"/>
              </w:rPr>
            </w:pPr>
            <w:r>
              <w:rPr>
                <w:kern w:val="0"/>
                <w:sz w:val="24"/>
                <w:szCs w:val="24"/>
                <w:lang w:val="en-US" w:eastAsia="en-US" w:bidi="ar-SA"/>
              </w:rPr>
              <w:t>Sterile Processing Technician</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$00.00</w:t>
            </w:r>
          </w:p>
          <w:p>
            <w:pPr>
              <w:pStyle w:val="Normal"/>
              <w:widowControl/>
              <w:spacing w:before="0" w:after="0"/>
              <w:jc w:val="start"/>
              <w:rPr>
                <w:kern w:val="0"/>
                <w:sz w:val="24"/>
                <w:szCs w:val="24"/>
                <w:lang w:val="en-US" w:eastAsia="en-US" w:bidi="ar-SA"/>
              </w:rPr>
            </w:pPr>
            <w:r>
              <w:rPr>
                <w:kern w:val="0"/>
                <w:sz w:val="24"/>
                <w:szCs w:val="24"/>
                <w:lang w:val="en-US" w:eastAsia="en-US" w:bidi="ar-SA"/>
              </w:rPr>
              <w:t>$00.00</w:t>
            </w:r>
          </w:p>
          <w:p>
            <w:pPr>
              <w:pStyle w:val="Normal"/>
              <w:widowControl/>
              <w:spacing w:before="0" w:after="0"/>
              <w:jc w:val="start"/>
              <w:rPr>
                <w:kern w:val="0"/>
                <w:sz w:val="24"/>
                <w:szCs w:val="24"/>
                <w:lang w:val="en-US" w:eastAsia="en-US" w:bidi="ar-SA"/>
              </w:rPr>
            </w:pPr>
            <w:r>
              <w:rPr>
                <w:kern w:val="0"/>
                <w:sz w:val="24"/>
                <w:szCs w:val="24"/>
                <w:lang w:val="en-US" w:eastAsia="en-US" w:bidi="ar-SA"/>
              </w:rPr>
              <w:t>$00.00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r>
          </w:p>
          <w:p>
            <w:pPr>
              <w:pStyle w:val="Normal"/>
              <w:widowControl/>
              <w:spacing w:before="0" w:after="0"/>
              <w:jc w:val="start"/>
              <w:rPr>
                <w:kern w:val="0"/>
                <w:sz w:val="24"/>
                <w:szCs w:val="24"/>
                <w:lang w:val="en-US" w:eastAsia="en-US" w:bidi="ar-SA"/>
              </w:rPr>
            </w:pPr>
            <w:r>
              <w:rPr>
                <w:kern w:val="0"/>
                <w:sz w:val="24"/>
                <w:szCs w:val="24"/>
                <w:lang w:val="en-US" w:eastAsia="en-US" w:bidi="ar-SA"/>
              </w:rPr>
              <w:t>$5.00</w:t>
            </w:r>
          </w:p>
        </w:tc>
      </w:tr>
      <w:tr>
        <w:trPr/>
        <w:tc>
          <w:tcPr>
            <w:tcW w:w="4944" w:type="dxa"/>
            <w:tcBorders/>
          </w:tcPr>
          <w:p>
            <w:pPr>
              <w:pStyle w:val="Normal"/>
              <w:widowControl/>
              <w:spacing w:before="0" w:after="0"/>
              <w:jc w:val="start"/>
              <w:rPr>
                <w:b/>
                <w:bCs/>
              </w:rPr>
            </w:pPr>
            <w:r>
              <w:rPr>
                <w:b/>
                <w:bCs/>
                <w:kern w:val="0"/>
                <w:sz w:val="24"/>
                <w:szCs w:val="24"/>
                <w:lang w:val="en-US" w:eastAsia="en-US" w:bidi="ar-SA"/>
              </w:rPr>
              <w:t>LPN/LVN</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tc>
      </w:tr>
      <w:tr>
        <w:trPr/>
        <w:tc>
          <w:tcPr>
            <w:tcW w:w="4944" w:type="dxa"/>
            <w:tcBorders/>
          </w:tcPr>
          <w:p>
            <w:pPr>
              <w:pStyle w:val="Normal"/>
              <w:widowControl/>
              <w:spacing w:before="0" w:after="0"/>
              <w:jc w:val="start"/>
              <w:rPr>
                <w:b/>
                <w:bCs/>
              </w:rPr>
            </w:pPr>
            <w:r>
              <w:rPr>
                <w:b/>
                <w:bCs/>
                <w:kern w:val="0"/>
                <w:sz w:val="24"/>
                <w:szCs w:val="24"/>
                <w:lang w:val="en-US" w:eastAsia="en-US" w:bidi="ar-SA"/>
              </w:rPr>
              <w:t>CNA</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c>
          <w:tcPr>
            <w:tcW w:w="126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r>
          </w:p>
        </w:tc>
      </w:tr>
    </w:tbl>
    <w:p>
      <w:pPr>
        <w:pStyle w:val="Normal"/>
        <w:rPr/>
      </w:pPr>
      <w:r>
        <w:rPr/>
      </w:r>
    </w:p>
    <w:p>
      <w:pPr>
        <w:pStyle w:val="Normal"/>
        <w:rPr/>
      </w:pPr>
      <w:r>
        <w:rPr>
          <w:b/>
          <w:bCs/>
        </w:rPr>
        <w:t>These rates are all-inclusive and include recruitment fees, travel reimbursement, lodging per diem reimbursement, meal &amp; incidental expense per diem reimbursement and compensation for healthcare professionals.</w:t>
      </w:r>
      <w:r>
        <w:rPr/>
        <w:t xml:space="preserve"> For any type of health professional not mentioned above, rates may be determined in writing on a case-by-case basis. </w:t>
      </w:r>
    </w:p>
    <w:p>
      <w:pPr>
        <w:pStyle w:val="Normal"/>
        <w:rPr/>
      </w:pPr>
      <w:r>
        <w:rPr/>
      </w:r>
    </w:p>
    <w:p>
      <w:pPr>
        <w:pStyle w:val="Normal"/>
        <w:rPr/>
      </w:pPr>
      <w:r>
        <w:rPr/>
        <w:t xml:space="preserve">All call back hours will be billed at one and one-half (1.5) times the regular rate.  All call back hours will be invoiced at the overtime rate with a minimum of two (2) hours. </w:t>
      </w:r>
    </w:p>
    <w:p>
      <w:pPr>
        <w:pStyle w:val="Normal"/>
        <w:rPr/>
      </w:pPr>
      <w:r>
        <w:rPr/>
      </w:r>
    </w:p>
    <w:p>
      <w:pPr>
        <w:pStyle w:val="Normal"/>
        <w:rPr/>
      </w:pPr>
      <w:r>
        <w:rPr/>
        <w:t>________________</w:t>
      </w:r>
      <w:r>
        <w:rPr>
          <w:b/>
          <w:bCs/>
        </w:rPr>
        <w:t xml:space="preserve"> </w:t>
      </w:r>
      <w:r>
        <w:rPr/>
        <w:t>employees can be assigned to eight (8), ten (10), or twelve (12) hour shifts. Overtime is defined as work in excess of forty (40) hours in one workweek. Overtime will be billed at one and one-half (1.5) times the regular rate.</w:t>
      </w:r>
    </w:p>
    <w:p>
      <w:pPr>
        <w:pStyle w:val="Normal"/>
        <w:rPr/>
      </w:pPr>
      <w:r>
        <w:rPr/>
      </w:r>
    </w:p>
    <w:p>
      <w:pPr>
        <w:pStyle w:val="Normal"/>
        <w:rPr/>
      </w:pPr>
      <w:r>
        <w:rPr/>
        <w:t xml:space="preserve">Double time is defined as work in excess of twelve (12) hours in one day and for all hours worked in excess of eight on the seventh consecutive day of work in a workweek and will be billed at two (2) times the regular rate. </w:t>
      </w:r>
    </w:p>
    <w:p>
      <w:pPr>
        <w:pStyle w:val="Normal"/>
        <w:rPr/>
      </w:pPr>
      <w:r>
        <w:rPr/>
      </w:r>
    </w:p>
    <w:p>
      <w:pPr>
        <w:pStyle w:val="Normal"/>
        <w:rPr/>
      </w:pPr>
      <w:r>
        <w:rPr/>
        <w:t xml:space="preserve">Work performed on New Year's Day, Memorial Day, Juneteenth Day, Independence Day, Labor Day, Thanksgiving Day and Christmas Day will be invoiced at the overtime rate of one and one-half (1.5) times the regular rate. Holidays begin 7:00 PM the night before the holiday, and end at 7:00 AM the day after the holiday. </w:t>
      </w:r>
    </w:p>
    <w:p>
      <w:pPr>
        <w:pStyle w:val="Normal"/>
        <w:rPr/>
      </w:pPr>
      <w:r>
        <w:rPr/>
      </w:r>
    </w:p>
    <w:p>
      <w:pPr>
        <w:pStyle w:val="Normal"/>
        <w:rPr/>
      </w:pPr>
      <w:r>
        <w:rPr/>
        <w:t xml:space="preserve">At any point during the terms of this agreement rates may be renegotiated and must be accepted in writing by both parties. </w:t>
      </w:r>
    </w:p>
    <w:p>
      <w:pPr>
        <w:pStyle w:val="Normal"/>
        <w:rPr/>
      </w:pPr>
      <w:r>
        <w:rPr/>
      </w:r>
    </w:p>
    <w:p>
      <w:pPr>
        <w:pStyle w:val="Normal"/>
        <w:rPr/>
      </w:pPr>
      <w:r>
        <w:rPr/>
        <w:t>Rates: Agreed and Accepted:</w:t>
      </w:r>
    </w:p>
    <w:p>
      <w:pPr>
        <w:pStyle w:val="Normal"/>
        <w:rPr/>
      </w:pPr>
      <w:r>
        <w:rPr/>
      </w:r>
    </w:p>
    <w:p>
      <w:pPr>
        <w:pStyle w:val="Normal"/>
        <w:rPr/>
      </w:pPr>
      <w:r>
        <w:rPr/>
        <w:t>_____________________________</w:t>
        <w:tab/>
        <w:tab/>
        <w:tab/>
        <w:t>______________________</w:t>
      </w:r>
    </w:p>
    <w:p>
      <w:pPr>
        <w:pStyle w:val="Normal"/>
        <w:rPr/>
      </w:pPr>
      <w:r>
        <w:rPr/>
        <w:t xml:space="preserve">Authorized Signatory </w:t>
        <w:tab/>
        <w:tab/>
        <w:tab/>
        <w:tab/>
        <w:tab/>
        <w:t>Date</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bCs/>
        </w:rPr>
      </w:pPr>
      <w:r>
        <w:rPr>
          <w:b/>
          <w:bCs/>
        </w:rPr>
        <w:t>Addendum "A"</w:t>
      </w:r>
    </w:p>
    <w:p>
      <w:pPr>
        <w:pStyle w:val="Normal"/>
        <w:jc w:val="center"/>
        <w:rPr>
          <w:b/>
          <w:bCs/>
        </w:rPr>
      </w:pPr>
      <w:r>
        <w:rPr>
          <w:b/>
          <w:bCs/>
        </w:rPr>
        <w:t>HEALTHCARE MASTER SERVICE AGREEMENT</w:t>
      </w:r>
    </w:p>
    <w:p>
      <w:pPr>
        <w:pStyle w:val="Normal"/>
        <w:jc w:val="center"/>
        <w:rPr>
          <w:b/>
          <w:bCs/>
        </w:rPr>
      </w:pPr>
      <w:r>
        <w:rPr>
          <w:b/>
          <w:bCs/>
        </w:rPr>
        <w:t>FOR</w:t>
      </w:r>
    </w:p>
    <w:p>
      <w:pPr>
        <w:pStyle w:val="Normal"/>
        <w:jc w:val="center"/>
        <w:rPr>
          <w:b/>
          <w:bCs/>
        </w:rPr>
      </w:pPr>
      <w:r>
        <w:rPr>
          <w:b/>
          <w:bCs/>
        </w:rPr>
        <w:t>STAFFING HEALTHCARE PROFESSIONAL</w:t>
      </w:r>
    </w:p>
    <w:p>
      <w:pPr>
        <w:pStyle w:val="Normal"/>
        <w:jc w:val="center"/>
        <w:rPr>
          <w:b/>
          <w:bCs/>
        </w:rPr>
      </w:pPr>
      <w:r>
        <w:rPr>
          <w:b/>
          <w:bCs/>
        </w:rPr>
        <w:t>TRAVEL CANDIDATES RATE SCHEDULE – THERAPY</w:t>
      </w:r>
    </w:p>
    <w:p>
      <w:pPr>
        <w:pStyle w:val="Normal"/>
        <w:rPr/>
      </w:pPr>
      <w:r>
        <w:rPr/>
      </w:r>
    </w:p>
    <w:tbl>
      <w:tblPr>
        <w:tblStyle w:val="TableGrid"/>
        <w:tblW w:w="7735"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944"/>
        <w:gridCol w:w="1530"/>
        <w:gridCol w:w="1261"/>
      </w:tblGrid>
      <w:tr>
        <w:trPr/>
        <w:tc>
          <w:tcPr>
            <w:tcW w:w="4944" w:type="dxa"/>
            <w:tcBorders/>
          </w:tcPr>
          <w:p>
            <w:pPr>
              <w:pStyle w:val="Normal"/>
              <w:widowControl/>
              <w:spacing w:before="0" w:after="0"/>
              <w:jc w:val="start"/>
              <w:rPr>
                <w:b/>
                <w:bCs/>
              </w:rPr>
            </w:pPr>
            <w:r>
              <w:rPr>
                <w:b/>
                <w:bCs/>
                <w:kern w:val="0"/>
                <w:sz w:val="24"/>
                <w:szCs w:val="24"/>
                <w:lang w:val="en-US" w:eastAsia="en-US" w:bidi="ar-SA"/>
              </w:rPr>
              <w:t>Health Professional</w:t>
            </w:r>
          </w:p>
        </w:tc>
        <w:tc>
          <w:tcPr>
            <w:tcW w:w="1530" w:type="dxa"/>
            <w:tcBorders/>
          </w:tcPr>
          <w:p>
            <w:pPr>
              <w:pStyle w:val="Normal"/>
              <w:widowControl/>
              <w:spacing w:before="0" w:after="0"/>
              <w:ind w:end="-122"/>
              <w:jc w:val="start"/>
              <w:rPr>
                <w:b/>
                <w:bCs/>
              </w:rPr>
            </w:pPr>
            <w:r>
              <w:rPr>
                <w:b/>
                <w:bCs/>
                <w:kern w:val="0"/>
                <w:sz w:val="24"/>
                <w:szCs w:val="24"/>
                <w:lang w:val="en-US" w:eastAsia="en-US" w:bidi="ar-SA"/>
              </w:rPr>
              <w:t>Regular</w:t>
            </w:r>
          </w:p>
        </w:tc>
        <w:tc>
          <w:tcPr>
            <w:tcW w:w="1261" w:type="dxa"/>
            <w:tcBorders/>
          </w:tcPr>
          <w:p>
            <w:pPr>
              <w:pStyle w:val="Normal"/>
              <w:widowControl/>
              <w:spacing w:before="0" w:after="0"/>
              <w:jc w:val="start"/>
              <w:rPr>
                <w:b/>
                <w:bCs/>
              </w:rPr>
            </w:pPr>
            <w:r>
              <w:rPr>
                <w:b/>
                <w:bCs/>
                <w:kern w:val="0"/>
                <w:sz w:val="24"/>
                <w:szCs w:val="24"/>
                <w:lang w:val="en-US" w:eastAsia="en-US" w:bidi="ar-SA"/>
              </w:rPr>
              <w:t>On-Call</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 xml:space="preserve">Occupational Therapist </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Physical Therapist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Speech-Language Pathologist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Certified Occupational Therapy Assistant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Physical Therapy Assistant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$00.00</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bl>
    <w:p>
      <w:pPr>
        <w:pStyle w:val="Normal"/>
        <w:rPr>
          <w:b/>
          <w:bCs/>
        </w:rPr>
      </w:pPr>
      <w:r>
        <w:rPr>
          <w:b/>
          <w:bCs/>
        </w:rPr>
      </w:r>
    </w:p>
    <w:p>
      <w:pPr>
        <w:pStyle w:val="Normal"/>
        <w:rPr/>
      </w:pPr>
      <w:r>
        <w:rPr>
          <w:b/>
          <w:bCs/>
        </w:rPr>
        <w:t>These rates are all-inclusive and include recruitment fees, travel reimbursement, lodging per diem reimbursement, meal &amp; incidental expense per diem reimbursement and compensation for healthcare professionals.</w:t>
      </w:r>
      <w:r>
        <w:rPr/>
        <w:t xml:space="preserve"> For any type of health professional not mentioned above, rates may be determined in writing on a case-by-case basis. </w:t>
      </w:r>
    </w:p>
    <w:p>
      <w:pPr>
        <w:pStyle w:val="Normal"/>
        <w:rPr/>
      </w:pPr>
      <w:r>
        <w:rPr/>
      </w:r>
    </w:p>
    <w:p>
      <w:pPr>
        <w:pStyle w:val="Normal"/>
        <w:rPr/>
      </w:pPr>
      <w:r>
        <w:rPr/>
        <w:t xml:space="preserve">All call back hours will be billed at one and one-half (1.5) times the regular rate. All call back hours will be invoiced at the overtime rate with a minimum of two (2) hours. </w:t>
      </w:r>
    </w:p>
    <w:p>
      <w:pPr>
        <w:pStyle w:val="Normal"/>
        <w:rPr/>
      </w:pPr>
      <w:r>
        <w:rPr/>
      </w:r>
    </w:p>
    <w:p>
      <w:pPr>
        <w:pStyle w:val="Normal"/>
        <w:rPr/>
      </w:pPr>
      <w:r>
        <w:rPr/>
        <w:t>________________</w:t>
      </w:r>
      <w:r>
        <w:rPr>
          <w:b/>
          <w:bCs/>
        </w:rPr>
        <w:t xml:space="preserve"> </w:t>
      </w:r>
      <w:r>
        <w:rPr/>
        <w:t xml:space="preserve">employees can be assigned to eight (8), ten (10), or twelve (12) hour shifts. Overtime is defined as work in excess of forty (40) hours in one workweek. Overtime will be billed at one and one-half (1.5) times the regular rate. </w:t>
      </w:r>
    </w:p>
    <w:p>
      <w:pPr>
        <w:pStyle w:val="Normal"/>
        <w:rPr/>
      </w:pPr>
      <w:r>
        <w:rPr/>
      </w:r>
    </w:p>
    <w:p>
      <w:pPr>
        <w:pStyle w:val="Normal"/>
        <w:rPr/>
      </w:pPr>
      <w:r>
        <w:rPr/>
        <w:t xml:space="preserve">Double time is defined as work in excess of twelve (12) hours in one day and for all hours worked in excess of eight on the seventh consecutive day of work in a workweek and will be billed at two (2) times the regular rate. </w:t>
      </w:r>
    </w:p>
    <w:p>
      <w:pPr>
        <w:pStyle w:val="Normal"/>
        <w:rPr/>
      </w:pPr>
      <w:r>
        <w:rPr/>
      </w:r>
    </w:p>
    <w:p>
      <w:pPr>
        <w:pStyle w:val="Normal"/>
        <w:rPr/>
      </w:pPr>
      <w:r>
        <w:rPr/>
        <w:t xml:space="preserve">Work performed on New Years Day, Memorial Day, Juneteenth Day, Independence Day, Labor Day, Thanksgiving Day and Christmas Day will be invoiced at the overtime rate of one and one-half (1.5) times the regular rate. Holidays begin 7:00 PM the night before the holiday, and end at 7:00 AM the day after the holiday. </w:t>
      </w:r>
    </w:p>
    <w:p>
      <w:pPr>
        <w:pStyle w:val="Normal"/>
        <w:rPr/>
      </w:pPr>
      <w:r>
        <w:rPr/>
      </w:r>
    </w:p>
    <w:p>
      <w:pPr>
        <w:pStyle w:val="Normal"/>
        <w:rPr/>
      </w:pPr>
      <w:r>
        <w:rPr/>
        <w:t>At any point during the terms of this agreement rates may be renegotiated and must be accepted in writing by both parties.</w:t>
      </w:r>
    </w:p>
    <w:p>
      <w:pPr>
        <w:pStyle w:val="Normal"/>
        <w:rPr/>
      </w:pPr>
      <w:r>
        <w:rPr/>
      </w:r>
    </w:p>
    <w:p>
      <w:pPr>
        <w:pStyle w:val="Normal"/>
        <w:rPr/>
      </w:pPr>
      <w:r>
        <w:rPr/>
        <w:t xml:space="preserve">Rates: Agreed and Accepted: </w:t>
      </w:r>
    </w:p>
    <w:p>
      <w:pPr>
        <w:pStyle w:val="Normal"/>
        <w:rPr/>
      </w:pPr>
      <w:r>
        <w:rPr/>
      </w:r>
    </w:p>
    <w:p>
      <w:pPr>
        <w:pStyle w:val="Normal"/>
        <w:rPr/>
      </w:pPr>
      <w:r>
        <w:rPr/>
        <w:softHyphen/>
        <w:softHyphen/>
        <w:softHyphen/>
        <w:t>_________________________________</w:t>
        <w:tab/>
        <w:tab/>
        <w:tab/>
        <w:softHyphen/>
        <w:t>______________________</w:t>
      </w:r>
    </w:p>
    <w:p>
      <w:pPr>
        <w:pStyle w:val="Normal"/>
        <w:rPr/>
      </w:pPr>
      <w:r>
        <w:rPr/>
        <w:t xml:space="preserve">Authorized Signatory </w:t>
        <w:tab/>
        <w:tab/>
        <w:tab/>
        <w:tab/>
        <w:tab/>
        <w:tab/>
        <w:t>Date</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bCs/>
        </w:rPr>
      </w:pPr>
      <w:r>
        <w:rPr>
          <w:b/>
          <w:bCs/>
        </w:rPr>
        <w:t>Addendum "A"</w:t>
      </w:r>
    </w:p>
    <w:p>
      <w:pPr>
        <w:pStyle w:val="Normal"/>
        <w:jc w:val="center"/>
        <w:rPr>
          <w:b/>
          <w:bCs/>
        </w:rPr>
      </w:pPr>
      <w:r>
        <w:rPr>
          <w:b/>
          <w:bCs/>
        </w:rPr>
        <w:t>HEALTHCARE MASTER SERVICE AGREEMENT</w:t>
      </w:r>
    </w:p>
    <w:p>
      <w:pPr>
        <w:pStyle w:val="Normal"/>
        <w:jc w:val="center"/>
        <w:rPr>
          <w:b/>
          <w:bCs/>
        </w:rPr>
      </w:pPr>
      <w:r>
        <w:rPr>
          <w:b/>
          <w:bCs/>
        </w:rPr>
        <w:t>FOR</w:t>
      </w:r>
    </w:p>
    <w:p>
      <w:pPr>
        <w:pStyle w:val="Normal"/>
        <w:jc w:val="center"/>
        <w:rPr>
          <w:b/>
          <w:bCs/>
        </w:rPr>
      </w:pPr>
      <w:r>
        <w:rPr>
          <w:b/>
          <w:bCs/>
        </w:rPr>
        <w:t>STAFFING HEALTHCARE PROFESSIONAL</w:t>
      </w:r>
    </w:p>
    <w:p>
      <w:pPr>
        <w:pStyle w:val="Normal"/>
        <w:jc w:val="center"/>
        <w:rPr>
          <w:b/>
          <w:bCs/>
        </w:rPr>
      </w:pPr>
      <w:r>
        <w:rPr>
          <w:b/>
          <w:bCs/>
        </w:rPr>
        <w:t>TRAVEL CANDIDATES RATE SCHEDULE – ALLIED</w:t>
      </w:r>
    </w:p>
    <w:p>
      <w:pPr>
        <w:pStyle w:val="Normal"/>
        <w:rPr/>
      </w:pPr>
      <w:r>
        <w:rPr/>
      </w:r>
    </w:p>
    <w:tbl>
      <w:tblPr>
        <w:tblStyle w:val="TableGrid"/>
        <w:tblW w:w="7735"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944"/>
        <w:gridCol w:w="1530"/>
        <w:gridCol w:w="1261"/>
      </w:tblGrid>
      <w:tr>
        <w:trPr/>
        <w:tc>
          <w:tcPr>
            <w:tcW w:w="4944" w:type="dxa"/>
            <w:tcBorders/>
          </w:tcPr>
          <w:p>
            <w:pPr>
              <w:pStyle w:val="Normal"/>
              <w:widowControl/>
              <w:spacing w:before="0" w:after="0"/>
              <w:jc w:val="start"/>
              <w:rPr>
                <w:b/>
                <w:bCs/>
              </w:rPr>
            </w:pPr>
            <w:r>
              <w:rPr>
                <w:b/>
                <w:bCs/>
                <w:kern w:val="0"/>
                <w:sz w:val="24"/>
                <w:szCs w:val="24"/>
                <w:lang w:val="en-US" w:eastAsia="en-US" w:bidi="ar-SA"/>
              </w:rPr>
              <w:t>Health Professional</w:t>
            </w:r>
          </w:p>
        </w:tc>
        <w:tc>
          <w:tcPr>
            <w:tcW w:w="1530" w:type="dxa"/>
            <w:tcBorders/>
          </w:tcPr>
          <w:p>
            <w:pPr>
              <w:pStyle w:val="Normal"/>
              <w:widowControl/>
              <w:spacing w:before="0" w:after="0"/>
              <w:ind w:end="-122"/>
              <w:jc w:val="start"/>
              <w:rPr>
                <w:b/>
                <w:bCs/>
              </w:rPr>
            </w:pPr>
            <w:r>
              <w:rPr>
                <w:b/>
                <w:bCs/>
                <w:kern w:val="0"/>
                <w:sz w:val="24"/>
                <w:szCs w:val="24"/>
                <w:lang w:val="en-US" w:eastAsia="en-US" w:bidi="ar-SA"/>
              </w:rPr>
              <w:t>Regular</w:t>
            </w:r>
          </w:p>
        </w:tc>
        <w:tc>
          <w:tcPr>
            <w:tcW w:w="1261" w:type="dxa"/>
            <w:tcBorders/>
          </w:tcPr>
          <w:p>
            <w:pPr>
              <w:pStyle w:val="Normal"/>
              <w:widowControl/>
              <w:spacing w:before="0" w:after="0"/>
              <w:jc w:val="start"/>
              <w:rPr>
                <w:b/>
                <w:bCs/>
              </w:rPr>
            </w:pPr>
            <w:r>
              <w:rPr>
                <w:b/>
                <w:bCs/>
                <w:kern w:val="0"/>
                <w:sz w:val="24"/>
                <w:szCs w:val="24"/>
                <w:lang w:val="en-US" w:eastAsia="en-US" w:bidi="ar-SA"/>
              </w:rPr>
              <w:t>On-Call</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 xml:space="preserve">Cardiovascular Technologist </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Cath Lab Tech</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Cytotechnologist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Diagnostic Medical Sonographer</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Echo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EMT</w:t>
            </w:r>
          </w:p>
        </w:tc>
        <w:tc>
          <w:tcPr>
            <w:tcW w:w="1530"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Mammography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Medical Lab Technician</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Medical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Monitor Tech</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MRI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Nuclear Medicine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Pharmacist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Pharmacy Tech</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Phlebotomist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Radiation Therapist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Respiratory Therapist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Ultrasound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Vascular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r>
        <w:trPr/>
        <w:tc>
          <w:tcPr>
            <w:tcW w:w="4944"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X-Ray Technologist</w:t>
            </w:r>
          </w:p>
        </w:tc>
        <w:tc>
          <w:tcPr>
            <w:tcW w:w="1530" w:type="dxa"/>
            <w:tcBorders/>
          </w:tcPr>
          <w:p>
            <w:pPr>
              <w:pStyle w:val="Normal"/>
              <w:widowControl/>
              <w:spacing w:before="0" w:after="0"/>
              <w:ind w:end="-122"/>
              <w:jc w:val="start"/>
              <w:rPr>
                <w:kern w:val="0"/>
                <w:sz w:val="24"/>
                <w:szCs w:val="24"/>
                <w:lang w:val="en-US" w:eastAsia="en-US" w:bidi="ar-SA"/>
              </w:rPr>
            </w:pPr>
            <w:r>
              <w:rPr>
                <w:kern w:val="0"/>
                <w:sz w:val="24"/>
                <w:szCs w:val="24"/>
                <w:lang w:val="en-US" w:eastAsia="en-US" w:bidi="ar-SA"/>
              </w:rPr>
              <w:t xml:space="preserve">$00.00 </w:t>
            </w:r>
          </w:p>
        </w:tc>
        <w:tc>
          <w:tcPr>
            <w:tcW w:w="1261" w:type="dxa"/>
            <w:tcBorders/>
          </w:tcPr>
          <w:p>
            <w:pPr>
              <w:pStyle w:val="Normal"/>
              <w:widowControl/>
              <w:spacing w:before="0" w:after="0"/>
              <w:jc w:val="start"/>
              <w:rPr>
                <w:kern w:val="0"/>
                <w:sz w:val="24"/>
                <w:szCs w:val="24"/>
                <w:lang w:val="en-US" w:eastAsia="en-US" w:bidi="ar-SA"/>
              </w:rPr>
            </w:pPr>
            <w:r>
              <w:rPr>
                <w:kern w:val="0"/>
                <w:sz w:val="24"/>
                <w:szCs w:val="24"/>
                <w:lang w:val="en-US" w:eastAsia="en-US" w:bidi="ar-SA"/>
              </w:rPr>
              <w:t>$10.00</w:t>
            </w:r>
          </w:p>
        </w:tc>
      </w:tr>
    </w:tbl>
    <w:p>
      <w:pPr>
        <w:pStyle w:val="Normal"/>
        <w:rPr>
          <w:b/>
          <w:bCs/>
        </w:rPr>
      </w:pPr>
      <w:r>
        <w:rPr>
          <w:b/>
          <w:bCs/>
        </w:rPr>
      </w:r>
    </w:p>
    <w:p>
      <w:pPr>
        <w:pStyle w:val="Normal"/>
        <w:rPr>
          <w:b/>
          <w:bCs/>
        </w:rPr>
      </w:pPr>
      <w:r>
        <w:rPr>
          <w:b/>
          <w:bCs/>
        </w:rPr>
      </w:r>
    </w:p>
    <w:p>
      <w:pPr>
        <w:pStyle w:val="Normal"/>
        <w:rPr>
          <w:b/>
          <w:bCs/>
        </w:rPr>
      </w:pPr>
      <w:r>
        <w:rPr>
          <w:b/>
          <w:bCs/>
        </w:rPr>
      </w:r>
    </w:p>
    <w:p>
      <w:pPr>
        <w:pStyle w:val="Normal"/>
        <w:rPr/>
      </w:pPr>
      <w:r>
        <w:rPr>
          <w:b/>
          <w:bCs/>
        </w:rPr>
        <w:t>These rates are all-inclusive and include recruitment fees, travel reimbursement, lodging per diem reimbursement, meal &amp; incidental expense per diem reimbursement and compensation for healthcare professionals.</w:t>
      </w:r>
      <w:r>
        <w:rPr/>
        <w:t xml:space="preserve"> For any type of health professional not mentioned above, rates may be determined in writing on a case-by-case basis. </w:t>
      </w:r>
    </w:p>
    <w:p>
      <w:pPr>
        <w:pStyle w:val="Normal"/>
        <w:rPr/>
      </w:pPr>
      <w:r>
        <w:rPr/>
      </w:r>
    </w:p>
    <w:p>
      <w:pPr>
        <w:pStyle w:val="Normal"/>
        <w:rPr/>
      </w:pPr>
      <w:r>
        <w:rPr/>
        <w:t xml:space="preserve">All call back hours will be billed at one and one-half (1.5) times the regular rate. All call back hours will be invoiced at the overtime rate with a minimum of two (2) hours. </w:t>
      </w:r>
    </w:p>
    <w:p>
      <w:pPr>
        <w:pStyle w:val="Normal"/>
        <w:rPr/>
      </w:pPr>
      <w:r>
        <w:rPr/>
      </w:r>
    </w:p>
    <w:p>
      <w:pPr>
        <w:pStyle w:val="Normal"/>
        <w:rPr/>
      </w:pPr>
      <w:r>
        <w:rPr/>
        <w:t>________________</w:t>
      </w:r>
      <w:r>
        <w:rPr>
          <w:b/>
          <w:bCs/>
        </w:rPr>
        <w:t xml:space="preserve"> </w:t>
      </w:r>
      <w:r>
        <w:rPr/>
        <w:t xml:space="preserve">employees can be assigned to eight (8), ten (10), or twelve (12) hour shifts. Overtime is defined as work in excess of forty (40) hours in one workweek. Overtime will be billed at one and one-half (1.5) times the regular rate. </w:t>
      </w:r>
    </w:p>
    <w:p>
      <w:pPr>
        <w:pStyle w:val="Normal"/>
        <w:rPr/>
      </w:pPr>
      <w:r>
        <w:rPr/>
      </w:r>
    </w:p>
    <w:p>
      <w:pPr>
        <w:pStyle w:val="Normal"/>
        <w:rPr/>
      </w:pPr>
      <w:r>
        <w:rPr/>
        <w:t xml:space="preserve">Double time is defined as work in excess of twelve (12) hours in one day and for all hours worked in excess of eight on the seventh consecutive day of work in a workweek and will be billed at two (2) times the regular rate. </w:t>
      </w:r>
    </w:p>
    <w:p>
      <w:pPr>
        <w:pStyle w:val="Normal"/>
        <w:rPr/>
      </w:pPr>
      <w:r>
        <w:rPr/>
      </w:r>
    </w:p>
    <w:p>
      <w:pPr>
        <w:pStyle w:val="Normal"/>
        <w:rPr/>
      </w:pPr>
      <w:r>
        <w:rPr/>
        <w:t xml:space="preserve">Work performed on New Years Day, Memorial Day, Juneteenth Day, Independence Day, Labor Day, Thanksgiving Day and Christmas Day will be invoiced at the overtime rate of one and one-half (1.5) times the regular rate. Holidays begin 7:00 PM the night before the holiday, and end at 7:00 AM the day after the holiday. </w:t>
      </w:r>
    </w:p>
    <w:p>
      <w:pPr>
        <w:pStyle w:val="Normal"/>
        <w:rPr/>
      </w:pPr>
      <w:r>
        <w:rPr/>
      </w:r>
    </w:p>
    <w:p>
      <w:pPr>
        <w:pStyle w:val="Normal"/>
        <w:rPr/>
      </w:pPr>
      <w:r>
        <w:rPr/>
        <w:t>At any point during the terms of this agreement rates may be renegotiated and must be accepted in writing by both parties.</w:t>
      </w:r>
    </w:p>
    <w:p>
      <w:pPr>
        <w:pStyle w:val="Normal"/>
        <w:rPr/>
      </w:pPr>
      <w:r>
        <w:rPr/>
      </w:r>
    </w:p>
    <w:p>
      <w:pPr>
        <w:pStyle w:val="Normal"/>
        <w:rPr>
          <w:b/>
          <w:bCs/>
        </w:rPr>
      </w:pPr>
      <w:r>
        <w:rPr>
          <w:b/>
          <w:bCs/>
        </w:rPr>
        <w:t xml:space="preserve">Rates: Agreed and Accepted: </w:t>
      </w:r>
    </w:p>
    <w:p>
      <w:pPr>
        <w:pStyle w:val="Normal"/>
        <w:rPr/>
      </w:pPr>
      <w:r>
        <w:rPr/>
      </w:r>
    </w:p>
    <w:p>
      <w:pPr>
        <w:pStyle w:val="Normal"/>
        <w:rPr/>
      </w:pPr>
      <w:r>
        <w:rPr/>
        <w:softHyphen/>
        <w:softHyphen/>
        <w:softHyphen/>
        <w:t>_________________________________</w:t>
        <w:tab/>
        <w:tab/>
        <w:tab/>
        <w:softHyphen/>
        <w:t>______________________</w:t>
      </w:r>
    </w:p>
    <w:p>
      <w:pPr>
        <w:pStyle w:val="Normal"/>
        <w:rPr/>
      </w:pPr>
      <w:r>
        <w:rPr/>
        <w:t xml:space="preserve">Authorized Signatory </w:t>
        <w:tab/>
        <w:tab/>
        <w:tab/>
        <w:tab/>
        <w:tab/>
        <w:tab/>
        <w:t>Date</w:t>
      </w:r>
    </w:p>
    <w:p>
      <w:pPr>
        <w:pStyle w:val="Normal"/>
        <w:rPr/>
      </w:pPr>
      <w:r>
        <w:rPr/>
      </w:r>
    </w:p>
    <w:sectPr>
      <w:headerReference w:type="default" r:id="rId3"/>
      <w:headerReference w:type="first" r:id="rId13"/>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17</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start"/>
      <w:pPr>
        <w:tabs>
          <w:tab w:val="num" w:pos="0"/>
        </w:tabs>
        <w:ind w:start="720" w:hanging="360"/>
      </w:pPr>
      <w:rPr>
        <w:color w:val="auto"/>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lowerLetter"/>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b5efc"/>
    <w:pPr>
      <w:widowControl/>
      <w:bidi w:val="0"/>
      <w:spacing w:before="0" w:after="0"/>
      <w:jc w:val="start"/>
    </w:pPr>
    <w:rPr>
      <w:rFonts w:ascii="Inter" w:hAnsi="Inter" w:eastAsia="Inter" w:cs="Inter" w:asciiTheme="minorHAnsi" w:eastAsiaTheme="minorHAnsi" w:hAnsiTheme="minorHAnsi"/>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FooterChar" w:customStyle="1">
    <w:name w:val="Footer Char"/>
    <w:basedOn w:val="DefaultParagraphFont"/>
    <w:link w:val="Footer"/>
    <w:uiPriority w:val="99"/>
    <w:qFormat/>
    <w:rsid w:val="00741acf"/>
    <w:rPr>
      <w:rFonts w:ascii="Inter" w:hAnsi="Inter" w:eastAsia="Inter" w:cs="Inter"/>
    </w:rPr>
  </w:style>
  <w:style w:type="character" w:styleId="PageNumber">
    <w:name w:val="Page Number"/>
    <w:basedOn w:val="DefaultParagraphFont"/>
    <w:uiPriority w:val="99"/>
    <w:semiHidden/>
    <w:unhideWhenUsed/>
    <w:rsid w:val="00741acf"/>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ListParagraph">
    <w:name w:val="List Paragraph"/>
    <w:basedOn w:val="Normal"/>
    <w:uiPriority w:val="34"/>
    <w:qFormat/>
    <w:rsid w:val="00c559ac"/>
    <w:pPr>
      <w:spacing w:before="0" w:after="0"/>
      <w:ind w:start="720"/>
      <w:contextualSpacing/>
    </w:pPr>
    <w:rPr/>
  </w:style>
  <w:style w:type="paragraph" w:styleId="NormalWeb">
    <w:name w:val="Normal (Web)"/>
    <w:basedOn w:val="Normal"/>
    <w:uiPriority w:val="99"/>
    <w:semiHidden/>
    <w:unhideWhenUsed/>
    <w:qFormat/>
    <w:rsid w:val="002c395e"/>
    <w:pPr>
      <w:spacing w:beforeAutospacing="1" w:afterAutospacing="1"/>
    </w:pPr>
    <w:rPr/>
  </w:style>
  <w:style w:type="paragraph" w:styleId="HeaderandFooter">
    <w:name w:val="Header and Footer"/>
    <w:basedOn w:val="Normal"/>
    <w:qFormat/>
    <w:pPr/>
    <w:rPr/>
  </w:style>
  <w:style w:type="paragraph" w:styleId="Footer">
    <w:name w:val="Footer"/>
    <w:basedOn w:val="Normal"/>
    <w:link w:val="FooterChar"/>
    <w:uiPriority w:val="99"/>
    <w:unhideWhenUsed/>
    <w:rsid w:val="00741acf"/>
    <w:pPr>
      <w:tabs>
        <w:tab w:val="clear" w:pos="720"/>
        <w:tab w:val="center" w:pos="4680" w:leader="none"/>
        <w:tab w:val="right" w:pos="9360" w:leader="none"/>
      </w:tabs>
    </w:pPr>
    <w:rPr/>
  </w:style>
  <w:style w:type="paragraph" w:styleId="Header">
    <w:name w:val="Head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9e1f5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image" Target="media/image1.png"/><Relationship Id="rId13"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61</TotalTime>
  <Application>LibreOffice/24.2.7.2$Linux_X86_64 LibreOffice_project/420$Build-2</Application>
  <AppVersion>15.0000</AppVersion>
  <Pages>14</Pages>
  <Words>4370</Words>
  <Characters>24914</Characters>
  <CharactersWithSpaces>29226</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2021-10-24T00:53:00Z</dcterms:created>
  <dc:creator>Dee Williams</dc:creator>
  <dc:description/>
  <dc:language>en-US</dc:language>
  <cp:lastModifiedBy>Dee Williams</cp:lastModifiedBy>
  <dcterms:modified xsi:type="dcterms:W3CDTF">2023-07-31T07:35:00Z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