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numPr>
          <w:ilvl w:val="0"/>
          <w:numId w:val="0"/>
        </w:numPr>
        <w:shd w:val="clear" w:color="auto" w:fill="FFFFFF"/>
        <w:spacing w:lineRule="atLeast" w:line="525" w:before="0" w:after="300"/>
        <w:jc w:val="center"/>
        <w:outlineLvl w:val="1"/>
        <w:rPr>
          <w:rFonts w:ascii="Inter" w:hAnsi="Inter" w:eastAsia="Inter" w:cs="Inter"/>
          <w:b/>
          <w:sz w:val="54"/>
          <w:szCs w:val="54"/>
        </w:rPr>
      </w:pPr>
      <w:r>
        <w:rPr>
          <w:rFonts w:eastAsia="Inter" w:cs="Inter"/>
          <w:b/>
          <w:sz w:val="54"/>
          <w:szCs w:val="54"/>
        </w:rPr>
        <w:t>Search Options &amp; Fee Structure</w:t>
      </w:r>
    </w:p>
    <w:p>
      <w:pPr>
        <w:pStyle w:val="Normal"/>
        <w:spacing w:lineRule="auto" w:line="240" w:before="0" w:after="0"/>
        <w:ind w:firstLine="810" w:start="-720" w:end="-720"/>
        <w:rPr>
          <w:rFonts w:cs="Inter"/>
          <w:sz w:val="24"/>
          <w:szCs w:val="24"/>
        </w:rPr>
      </w:pPr>
      <w:r>
        <w:rPr>
          <w:rFonts w:cs="Inter"/>
          <w:sz w:val="24"/>
          <w:szCs w:val="24"/>
        </w:rPr>
        <w:t xml:space="preserve">You have to sell before you can negotiate, and the FIRST Rule of Negotiation - </w:t>
      </w:r>
      <w:r>
        <w:rPr>
          <w:rFonts w:cs="Inter"/>
          <w:b/>
          <w:sz w:val="24"/>
          <w:szCs w:val="24"/>
        </w:rPr>
        <w:t>BUYERS WANT OPTIONS</w:t>
      </w:r>
      <w:r>
        <w:rPr>
          <w:rFonts w:cs="Inter"/>
          <w:sz w:val="24"/>
          <w:szCs w:val="24"/>
        </w:rPr>
        <w:t>!!!!</w:t>
      </w:r>
    </w:p>
    <w:p>
      <w:pPr>
        <w:pStyle w:val="Normal"/>
        <w:spacing w:lineRule="auto" w:line="240" w:before="0" w:after="0"/>
        <w:ind w:start="-720" w:end="-720"/>
        <w:rPr>
          <w:rFonts w:cs="Inter"/>
          <w:b/>
          <w:sz w:val="24"/>
          <w:szCs w:val="24"/>
        </w:rPr>
      </w:pPr>
      <w:r>
        <w:rPr>
          <w:rFonts w:cs="Inter"/>
          <w:b/>
          <w:sz w:val="24"/>
          <w:szCs w:val="24"/>
        </w:rPr>
      </w:r>
    </w:p>
    <w:p>
      <w:pPr>
        <w:pStyle w:val="Normal"/>
        <w:spacing w:lineRule="auto" w:line="240" w:before="0" w:after="0"/>
        <w:rPr>
          <w:rFonts w:cs="Inter"/>
          <w:b/>
          <w:sz w:val="24"/>
          <w:szCs w:val="24"/>
        </w:rPr>
      </w:pPr>
      <w:r>
        <w:rPr>
          <w:rFonts w:cs="Inter"/>
          <w:b/>
          <w:sz w:val="24"/>
          <w:szCs w:val="24"/>
        </w:rPr>
        <w:t>Whenever a potential client brings up fees the next thing you say should always be exactly this: (MEMORIZE)</w:t>
      </w:r>
    </w:p>
    <w:p>
      <w:pPr>
        <w:pStyle w:val="Normal"/>
        <w:spacing w:lineRule="auto" w:line="240" w:before="0" w:after="0"/>
        <w:ind w:start="720"/>
        <w:rPr>
          <w:rFonts w:cs="Inter"/>
          <w:b/>
          <w:sz w:val="24"/>
          <w:szCs w:val="24"/>
        </w:rPr>
      </w:pPr>
      <w:r>
        <w:rPr>
          <w:rFonts w:cs="Inter"/>
          <w:b/>
          <w:sz w:val="24"/>
          <w:szCs w:val="24"/>
        </w:rPr>
      </w:r>
    </w:p>
    <w:p>
      <w:pPr>
        <w:pStyle w:val="Normal"/>
        <w:spacing w:lineRule="auto" w:line="240" w:before="0" w:after="0"/>
        <w:ind w:firstLine="90"/>
        <w:rPr>
          <w:rFonts w:cs="Inter"/>
          <w:sz w:val="24"/>
          <w:szCs w:val="24"/>
        </w:rPr>
      </w:pPr>
      <w:r>
        <w:rPr>
          <w:rFonts w:cs="Inter"/>
          <w:sz w:val="24"/>
          <w:szCs w:val="24"/>
        </w:rPr>
        <w:t>“</w:t>
      </w:r>
      <w:r>
        <w:rPr>
          <w:rFonts w:cs="Inter"/>
          <w:sz w:val="24"/>
          <w:szCs w:val="24"/>
        </w:rPr>
        <w:t xml:space="preserve">______, if you’re looking for contract or contract-to-hire (temp or temp-to-perm) we quote our bill rates based on market compensation value and your budget. Our contract-to-hire (temp or temp-to-perm) services requires our candidates to be on site for a minimum of 520 hours with a $300 conversation fee. </w:t>
      </w:r>
    </w:p>
    <w:p>
      <w:pPr>
        <w:pStyle w:val="Normal"/>
        <w:spacing w:lineRule="auto" w:line="240" w:before="360" w:after="360"/>
        <w:ind w:firstLine="90" w:end="180"/>
        <w:rPr>
          <w:rFonts w:cs="Inter"/>
          <w:sz w:val="24"/>
          <w:szCs w:val="24"/>
        </w:rPr>
      </w:pPr>
      <w:r>
        <w:rPr>
          <w:rFonts w:cs="Inter"/>
          <w:b/>
          <w:sz w:val="24"/>
          <w:szCs w:val="24"/>
        </w:rPr>
        <w:t>Contract:</w:t>
      </w:r>
      <w:r>
        <w:rPr>
          <w:rFonts w:cs="Inter"/>
          <w:sz w:val="24"/>
          <w:szCs w:val="24"/>
        </w:rPr>
        <w:t> Contract assignments are for a fixed amount of time. You will typically provide us with a start and end date (these may sometimes change in the middle of an assignment).</w:t>
      </w:r>
    </w:p>
    <w:p>
      <w:pPr>
        <w:pStyle w:val="Normal"/>
        <w:spacing w:lineRule="auto" w:line="240" w:before="360" w:after="360"/>
        <w:ind w:firstLine="90" w:end="180"/>
        <w:rPr>
          <w:rFonts w:cs="Inter"/>
          <w:sz w:val="24"/>
          <w:szCs w:val="24"/>
        </w:rPr>
      </w:pPr>
      <w:r>
        <w:rPr>
          <w:rFonts w:cs="Inter"/>
          <w:b/>
          <w:sz w:val="24"/>
          <w:szCs w:val="24"/>
        </w:rPr>
        <w:t>Contract-to-Hire (C2H):</w:t>
      </w:r>
      <w:r>
        <w:rPr>
          <w:rFonts w:cs="Inter"/>
          <w:sz w:val="24"/>
          <w:szCs w:val="24"/>
        </w:rPr>
        <w:t xml:space="preserve"> Contract-to-hire assignments are for a fixed amount of time, and then they roll over into your company as a full-time permanent assignment. It’s like a “try before you buy” option. This is a trial position to gauge the candidate’s ability to work for your company on a regular full-time basis. Our employees will be eligible for transfer to your payroll after 13 weeks or 520 work hours.</w:t>
      </w:r>
    </w:p>
    <w:p>
      <w:pPr>
        <w:pStyle w:val="Normal"/>
        <w:ind w:hanging="720" w:start="720" w:end="180"/>
        <w:jc w:val="both"/>
        <w:rPr>
          <w:rFonts w:cs="Inter"/>
          <w:sz w:val="24"/>
          <w:szCs w:val="24"/>
        </w:rPr>
      </w:pPr>
      <w:r>
        <w:rPr>
          <w:rFonts w:cs="Inter"/>
          <w:sz w:val="24"/>
          <w:szCs w:val="24"/>
        </w:rPr>
        <w:t>Our bill rate is currently 60% mark-up of the positions’ pay rate. For example:</w:t>
      </w:r>
    </w:p>
    <w:tbl>
      <w:tblPr>
        <w:tblW w:w="5760" w:type="dxa"/>
        <w:jc w:val="start"/>
        <w:tblInd w:w="1080" w:type="dxa"/>
        <w:tblLayout w:type="fixed"/>
        <w:tblCellMar>
          <w:top w:w="0" w:type="dxa"/>
          <w:start w:w="108" w:type="dxa"/>
          <w:bottom w:w="0" w:type="dxa"/>
          <w:end w:w="108" w:type="dxa"/>
        </w:tblCellMar>
        <w:tblLook w:val="01e0" w:noHBand="0" w:noVBand="0" w:firstColumn="1" w:lastRow="1" w:lastColumn="1" w:firstRow="1"/>
      </w:tblPr>
      <w:tblGrid>
        <w:gridCol w:w="2880"/>
        <w:gridCol w:w="2879"/>
      </w:tblGrid>
      <w:tr>
        <w:trPr/>
        <w:tc>
          <w:tcPr>
            <w:tcW w:w="2880" w:type="dxa"/>
            <w:tcBorders/>
          </w:tcPr>
          <w:p>
            <w:pPr>
              <w:pStyle w:val="Normal"/>
              <w:spacing w:before="0" w:after="160"/>
              <w:ind w:start="720" w:end="180"/>
              <w:jc w:val="both"/>
              <w:rPr>
                <w:rFonts w:cs="Inter"/>
                <w:b/>
                <w:sz w:val="24"/>
                <w:szCs w:val="24"/>
              </w:rPr>
            </w:pPr>
            <w:r>
              <w:rPr>
                <w:rFonts w:cs="Inter"/>
                <w:b/>
                <w:sz w:val="24"/>
                <w:szCs w:val="24"/>
              </w:rPr>
              <w:t>Sample Pay Rate</w:t>
            </w:r>
          </w:p>
        </w:tc>
        <w:tc>
          <w:tcPr>
            <w:tcW w:w="2879" w:type="dxa"/>
            <w:tcBorders/>
          </w:tcPr>
          <w:p>
            <w:pPr>
              <w:pStyle w:val="Normal"/>
              <w:spacing w:before="0" w:after="160"/>
              <w:ind w:start="720" w:end="180"/>
              <w:jc w:val="both"/>
              <w:rPr>
                <w:rFonts w:cs="Inter"/>
                <w:b/>
                <w:sz w:val="24"/>
                <w:szCs w:val="24"/>
              </w:rPr>
            </w:pPr>
            <w:r>
              <w:rPr>
                <w:rFonts w:cs="Inter"/>
                <w:b/>
                <w:sz w:val="24"/>
                <w:szCs w:val="24"/>
              </w:rPr>
              <w:t>Sample Bill Rate</w:t>
            </w:r>
          </w:p>
        </w:tc>
      </w:tr>
      <w:tr>
        <w:trPr/>
        <w:tc>
          <w:tcPr>
            <w:tcW w:w="2880" w:type="dxa"/>
            <w:tcBorders/>
          </w:tcPr>
          <w:p>
            <w:pPr>
              <w:pStyle w:val="Normal"/>
              <w:spacing w:before="0" w:after="160"/>
              <w:ind w:start="720" w:end="180"/>
              <w:jc w:val="both"/>
              <w:rPr>
                <w:rFonts w:cs="Inter"/>
                <w:sz w:val="24"/>
                <w:szCs w:val="24"/>
              </w:rPr>
            </w:pPr>
            <w:r>
              <w:rPr>
                <w:rFonts w:cs="Inter"/>
                <w:sz w:val="24"/>
                <w:szCs w:val="24"/>
              </w:rPr>
              <w:t>$11.00 per hour</w:t>
            </w:r>
          </w:p>
        </w:tc>
        <w:tc>
          <w:tcPr>
            <w:tcW w:w="2879" w:type="dxa"/>
            <w:tcBorders/>
          </w:tcPr>
          <w:p>
            <w:pPr>
              <w:pStyle w:val="Normal"/>
              <w:spacing w:before="0" w:after="160"/>
              <w:ind w:start="720" w:end="180"/>
              <w:jc w:val="both"/>
              <w:rPr>
                <w:rFonts w:cs="Inter"/>
                <w:sz w:val="24"/>
                <w:szCs w:val="24"/>
              </w:rPr>
            </w:pPr>
            <w:r>
              <w:rPr>
                <w:rFonts w:cs="Inter"/>
                <w:sz w:val="24"/>
                <w:szCs w:val="24"/>
              </w:rPr>
              <w:t>$17.60 per hour</w:t>
            </w:r>
          </w:p>
        </w:tc>
      </w:tr>
      <w:tr>
        <w:trPr/>
        <w:tc>
          <w:tcPr>
            <w:tcW w:w="2880" w:type="dxa"/>
            <w:tcBorders/>
          </w:tcPr>
          <w:p>
            <w:pPr>
              <w:pStyle w:val="Normal"/>
              <w:spacing w:before="0" w:after="160"/>
              <w:ind w:start="720" w:end="180"/>
              <w:jc w:val="both"/>
              <w:rPr>
                <w:rFonts w:cs="Inter"/>
                <w:sz w:val="24"/>
                <w:szCs w:val="24"/>
              </w:rPr>
            </w:pPr>
            <w:r>
              <w:rPr>
                <w:rFonts w:cs="Inter"/>
                <w:sz w:val="24"/>
                <w:szCs w:val="24"/>
              </w:rPr>
              <w:t>$13.00 per hour</w:t>
            </w:r>
          </w:p>
        </w:tc>
        <w:tc>
          <w:tcPr>
            <w:tcW w:w="2879" w:type="dxa"/>
            <w:tcBorders/>
          </w:tcPr>
          <w:p>
            <w:pPr>
              <w:pStyle w:val="Normal"/>
              <w:spacing w:before="0" w:after="160"/>
              <w:ind w:start="720" w:end="180"/>
              <w:jc w:val="both"/>
              <w:rPr>
                <w:rFonts w:cs="Inter"/>
                <w:sz w:val="24"/>
                <w:szCs w:val="24"/>
              </w:rPr>
            </w:pPr>
            <w:r>
              <w:rPr>
                <w:rFonts w:cs="Inter"/>
                <w:sz w:val="24"/>
                <w:szCs w:val="24"/>
              </w:rPr>
              <w:t>$20.80 per hour</w:t>
            </w:r>
          </w:p>
        </w:tc>
      </w:tr>
      <w:tr>
        <w:trPr/>
        <w:tc>
          <w:tcPr>
            <w:tcW w:w="2880" w:type="dxa"/>
            <w:tcBorders/>
          </w:tcPr>
          <w:p>
            <w:pPr>
              <w:pStyle w:val="Normal"/>
              <w:spacing w:before="0" w:after="160"/>
              <w:ind w:start="720" w:end="180"/>
              <w:jc w:val="both"/>
              <w:rPr>
                <w:rFonts w:cs="Inter"/>
                <w:sz w:val="24"/>
                <w:szCs w:val="24"/>
              </w:rPr>
            </w:pPr>
            <w:r>
              <w:rPr>
                <w:rFonts w:cs="Inter"/>
                <w:sz w:val="24"/>
                <w:szCs w:val="24"/>
              </w:rPr>
              <w:t>$14.00 per hour</w:t>
            </w:r>
          </w:p>
        </w:tc>
        <w:tc>
          <w:tcPr>
            <w:tcW w:w="2879" w:type="dxa"/>
            <w:tcBorders/>
          </w:tcPr>
          <w:p>
            <w:pPr>
              <w:pStyle w:val="Normal"/>
              <w:spacing w:before="0" w:after="160"/>
              <w:ind w:start="720" w:end="180"/>
              <w:jc w:val="both"/>
              <w:rPr>
                <w:rFonts w:cs="Inter"/>
                <w:sz w:val="24"/>
                <w:szCs w:val="24"/>
              </w:rPr>
            </w:pPr>
            <w:r>
              <w:rPr>
                <w:rFonts w:cs="Inter"/>
                <w:sz w:val="24"/>
                <w:szCs w:val="24"/>
              </w:rPr>
              <w:t>$22.40 per hour</w:t>
            </w:r>
          </w:p>
        </w:tc>
      </w:tr>
    </w:tbl>
    <w:p>
      <w:pPr>
        <w:pStyle w:val="Normal"/>
        <w:numPr>
          <w:ilvl w:val="0"/>
          <w:numId w:val="0"/>
        </w:numPr>
        <w:ind w:hanging="0" w:start="0" w:end="180"/>
        <w:jc w:val="both"/>
        <w:rPr>
          <w:rFonts w:cs="Inter"/>
          <w:b/>
          <w:sz w:val="24"/>
          <w:szCs w:val="24"/>
        </w:rPr>
      </w:pPr>
      <w:r>
        <w:rPr>
          <w:rFonts w:cs="Inter"/>
          <w:b/>
          <w:sz w:val="24"/>
          <w:szCs w:val="24"/>
        </w:rPr>
        <w:t xml:space="preserve">The 60% Mark-Up: Benefits </w:t>
      </w:r>
    </w:p>
    <w:p>
      <w:pPr>
        <w:pStyle w:val="Normal"/>
        <w:numPr>
          <w:ilvl w:val="0"/>
          <w:numId w:val="0"/>
        </w:numPr>
        <w:ind w:hanging="0" w:start="0" w:end="180"/>
        <w:jc w:val="both"/>
        <w:rPr>
          <w:rFonts w:cs="Inter"/>
          <w:sz w:val="24"/>
          <w:szCs w:val="24"/>
        </w:rPr>
      </w:pPr>
      <w:r>
        <w:rPr>
          <w:rFonts w:cs="Inter"/>
          <w:sz w:val="24"/>
          <w:szCs w:val="24"/>
        </w:rPr>
        <w:t>An industry-standard mark-up of 60% allows us to provide you with exceptional service, as well as the following:</w:t>
      </w:r>
    </w:p>
    <w:p>
      <w:pPr>
        <w:pStyle w:val="ListParagraph"/>
        <w:numPr>
          <w:ilvl w:val="0"/>
          <w:numId w:val="1"/>
        </w:numPr>
        <w:spacing w:lineRule="auto" w:line="240" w:before="0" w:after="0"/>
        <w:ind w:hanging="0" w:start="0" w:end="180"/>
        <w:contextualSpacing/>
        <w:jc w:val="both"/>
        <w:rPr>
          <w:rFonts w:cs="Inter"/>
          <w:sz w:val="24"/>
          <w:szCs w:val="24"/>
        </w:rPr>
      </w:pPr>
      <w:r>
        <w:rPr>
          <w:rFonts w:cs="Inter"/>
          <w:sz w:val="24"/>
          <w:szCs w:val="24"/>
        </w:rPr>
        <w:t>Payroll Burden (F.I.C.A., State Unemployment Tax, Federal Unemployment Tax, Social Security, Worker’s Compensation Insurance State Disability Insurance, and General Liability Insurance)</w:t>
      </w:r>
    </w:p>
    <w:p>
      <w:pPr>
        <w:pStyle w:val="ListParagraph"/>
        <w:numPr>
          <w:ilvl w:val="0"/>
          <w:numId w:val="1"/>
        </w:numPr>
        <w:spacing w:lineRule="auto" w:line="240" w:before="0" w:after="0"/>
        <w:ind w:hanging="0" w:start="0" w:end="180"/>
        <w:contextualSpacing/>
        <w:jc w:val="both"/>
        <w:rPr>
          <w:rFonts w:cs="Inter"/>
          <w:sz w:val="24"/>
          <w:szCs w:val="24"/>
        </w:rPr>
      </w:pPr>
      <w:r>
        <w:rPr>
          <w:rFonts w:cs="Inter"/>
          <w:sz w:val="24"/>
          <w:szCs w:val="24"/>
        </w:rPr>
        <w:t>Payroll</w:t>
      </w:r>
    </w:p>
    <w:p>
      <w:pPr>
        <w:pStyle w:val="ListParagraph"/>
        <w:numPr>
          <w:ilvl w:val="0"/>
          <w:numId w:val="1"/>
        </w:numPr>
        <w:spacing w:lineRule="auto" w:line="240" w:before="0" w:after="0"/>
        <w:ind w:hanging="0" w:start="0" w:end="180"/>
        <w:contextualSpacing/>
        <w:jc w:val="both"/>
        <w:rPr>
          <w:rFonts w:cs="Inter"/>
          <w:sz w:val="24"/>
          <w:szCs w:val="24"/>
        </w:rPr>
      </w:pPr>
      <w:r>
        <w:rPr>
          <w:rFonts w:cs="Inter"/>
          <w:sz w:val="24"/>
          <w:szCs w:val="24"/>
        </w:rPr>
        <w:t>Employee Training</w:t>
      </w:r>
    </w:p>
    <w:p>
      <w:pPr>
        <w:pStyle w:val="ListParagraph"/>
        <w:numPr>
          <w:ilvl w:val="0"/>
          <w:numId w:val="1"/>
        </w:numPr>
        <w:spacing w:lineRule="auto" w:line="240" w:before="0" w:after="0"/>
        <w:ind w:hanging="0" w:start="0" w:end="180"/>
        <w:contextualSpacing/>
        <w:jc w:val="both"/>
        <w:rPr>
          <w:rFonts w:cs="Inter"/>
          <w:sz w:val="24"/>
          <w:szCs w:val="24"/>
        </w:rPr>
      </w:pPr>
      <w:r>
        <w:rPr>
          <w:rFonts w:cs="Inter"/>
          <w:sz w:val="24"/>
          <w:szCs w:val="24"/>
        </w:rPr>
        <w:t xml:space="preserve">Applicant Screenings </w:t>
      </w:r>
    </w:p>
    <w:p>
      <w:pPr>
        <w:pStyle w:val="ListParagraph"/>
        <w:spacing w:lineRule="auto" w:line="240" w:before="0" w:after="0"/>
        <w:ind w:start="0" w:end="180"/>
        <w:contextualSpacing/>
        <w:jc w:val="both"/>
        <w:rPr>
          <w:rFonts w:cs="Inter"/>
          <w:sz w:val="24"/>
          <w:szCs w:val="24"/>
        </w:rPr>
      </w:pPr>
      <w:r>
        <w:rPr>
          <w:rFonts w:cs="Inter"/>
          <w:sz w:val="24"/>
          <w:szCs w:val="24"/>
        </w:rPr>
      </w:r>
    </w:p>
    <w:p>
      <w:pPr>
        <w:pStyle w:val="Normal"/>
        <w:ind w:end="180"/>
        <w:jc w:val="both"/>
        <w:rPr>
          <w:rFonts w:cs="Inter"/>
          <w:sz w:val="24"/>
          <w:szCs w:val="24"/>
        </w:rPr>
      </w:pPr>
      <w:r>
        <w:rPr>
          <w:rFonts w:cs="Inter"/>
          <w:sz w:val="24"/>
          <w:szCs w:val="24"/>
        </w:rPr>
        <w:t>This mark-up also allows us to provide our employees and candidates with exceptional benefits, such as 401(k) retirement plans, holiday pay, vacation pay, bonuses, a full range of medical, dental and vision coverage, direct deposit and training. With our contract and contract-to-hire services, we handle all of the stressful backend work for you.</w:t>
      </w:r>
    </w:p>
    <w:p>
      <w:pPr>
        <w:pStyle w:val="Normal"/>
        <w:rPr>
          <w:rFonts w:cs="Inter"/>
          <w:b/>
          <w:sz w:val="24"/>
          <w:szCs w:val="24"/>
        </w:rPr>
      </w:pPr>
      <w:r>
        <w:rPr>
          <w:rFonts w:cs="Inter"/>
          <w:b/>
          <w:sz w:val="24"/>
          <w:szCs w:val="24"/>
        </w:rPr>
        <w:t>Temporary and Contract Terms:</w:t>
      </w:r>
    </w:p>
    <w:p>
      <w:pPr>
        <w:pStyle w:val="Normal"/>
        <w:spacing w:lineRule="auto" w:line="240" w:beforeAutospacing="1" w:afterAutospacing="1"/>
        <w:jc w:val="both"/>
        <w:rPr>
          <w:rFonts w:cs="Inter"/>
          <w:sz w:val="24"/>
          <w:szCs w:val="24"/>
        </w:rPr>
      </w:pPr>
      <w:r>
        <w:rPr>
          <w:rFonts w:cs="Inter"/>
          <w:sz w:val="24"/>
          <w:szCs w:val="24"/>
        </w:rPr>
        <w:t>Agency will send an invoice to the client on a weekly basis. The invoice will document actual hours worked during the preceding pay period and payment is due upon receipt. Delay in payment could result in the removal of contract or temporary candidate from the assignment.</w:t>
      </w:r>
    </w:p>
    <w:p>
      <w:pPr>
        <w:pStyle w:val="Normal"/>
        <w:spacing w:lineRule="auto" w:line="240" w:before="0" w:after="0"/>
        <w:rPr>
          <w:rFonts w:cs="Inter"/>
          <w:sz w:val="24"/>
          <w:szCs w:val="24"/>
        </w:rPr>
      </w:pPr>
      <w:r>
        <w:rPr>
          <w:rFonts w:cs="Inter"/>
          <w:sz w:val="24"/>
          <w:szCs w:val="24"/>
          <w:u w:val="single"/>
        </w:rPr>
        <w:t>John</w:t>
      </w:r>
      <w:r>
        <w:rPr>
          <w:rFonts w:cs="Inter"/>
          <w:sz w:val="24"/>
          <w:szCs w:val="24"/>
        </w:rPr>
        <w:t>, for our Direct Hire Search Services we have three different pricing models we work with here. Let me outline them both to you and you can tell me which one will work best for you in this case:”</w:t>
      </w:r>
    </w:p>
    <w:p>
      <w:pPr>
        <w:pStyle w:val="Normal"/>
        <w:spacing w:lineRule="auto" w:line="240" w:before="0" w:after="0"/>
        <w:ind w:start="720"/>
        <w:rPr>
          <w:rFonts w:cs="Inter"/>
          <w:sz w:val="24"/>
          <w:szCs w:val="24"/>
        </w:rPr>
      </w:pPr>
      <w:r>
        <w:rPr>
          <w:rFonts w:cs="Inter"/>
          <w:sz w:val="24"/>
          <w:szCs w:val="24"/>
        </w:rPr>
      </w:r>
    </w:p>
    <w:p>
      <w:pPr>
        <w:pStyle w:val="Normal"/>
        <w:spacing w:lineRule="auto" w:line="240" w:before="0" w:after="0"/>
        <w:ind w:firstLine="360" w:start="720"/>
        <w:rPr>
          <w:rFonts w:cs="Inter"/>
          <w:b/>
          <w:sz w:val="24"/>
          <w:szCs w:val="24"/>
        </w:rPr>
      </w:pPr>
      <w:r>
        <w:rPr>
          <w:rFonts w:cs="Inter"/>
          <w:b/>
          <w:sz w:val="24"/>
          <w:szCs w:val="24"/>
        </w:rPr>
        <w:t>Plan A (The Contingency Search): (your risk)</w:t>
      </w:r>
    </w:p>
    <w:p>
      <w:pPr>
        <w:pStyle w:val="Normal"/>
        <w:spacing w:lineRule="auto" w:line="240" w:before="0" w:after="0"/>
        <w:ind w:start="720"/>
        <w:rPr>
          <w:rFonts w:cs="Inter"/>
          <w:sz w:val="24"/>
          <w:szCs w:val="24"/>
        </w:rPr>
      </w:pPr>
      <w:r>
        <w:rPr>
          <w:rFonts w:cs="Inter"/>
          <w:sz w:val="24"/>
          <w:szCs w:val="24"/>
        </w:rPr>
      </w:r>
    </w:p>
    <w:p>
      <w:pPr>
        <w:pStyle w:val="ListParagraph"/>
        <w:numPr>
          <w:ilvl w:val="0"/>
          <w:numId w:val="2"/>
        </w:numPr>
        <w:spacing w:lineRule="auto" w:line="240" w:before="0" w:after="0"/>
        <w:ind w:hanging="360" w:start="1440"/>
        <w:contextualSpacing/>
        <w:rPr>
          <w:rFonts w:cs="Inter"/>
          <w:sz w:val="24"/>
          <w:szCs w:val="24"/>
        </w:rPr>
      </w:pPr>
      <w:r>
        <w:rPr>
          <w:rFonts w:cs="Inter"/>
          <w:sz w:val="24"/>
          <w:szCs w:val="24"/>
        </w:rPr>
        <w:t>25% straight contingency client pays nothing if you aren’t successful.</w:t>
      </w:r>
    </w:p>
    <w:p>
      <w:pPr>
        <w:pStyle w:val="ListParagraph"/>
        <w:numPr>
          <w:ilvl w:val="0"/>
          <w:numId w:val="2"/>
        </w:numPr>
        <w:spacing w:lineRule="auto" w:line="240" w:before="0" w:after="0"/>
        <w:ind w:hanging="360" w:start="1440"/>
        <w:contextualSpacing/>
        <w:rPr>
          <w:rFonts w:cs="Inter"/>
          <w:sz w:val="24"/>
          <w:szCs w:val="24"/>
        </w:rPr>
      </w:pPr>
      <w:r>
        <w:rPr>
          <w:rFonts w:cs="Inter"/>
          <w:sz w:val="24"/>
          <w:szCs w:val="24"/>
        </w:rPr>
        <w:t>30-day replacement policy.</w:t>
      </w:r>
    </w:p>
    <w:p>
      <w:pPr>
        <w:pStyle w:val="ListParagraph"/>
        <w:numPr>
          <w:ilvl w:val="0"/>
          <w:numId w:val="2"/>
        </w:numPr>
        <w:spacing w:lineRule="auto" w:line="240" w:before="0" w:after="0"/>
        <w:ind w:hanging="360" w:start="1440"/>
        <w:contextualSpacing/>
        <w:rPr>
          <w:rFonts w:cs="Inter"/>
          <w:sz w:val="24"/>
          <w:szCs w:val="24"/>
        </w:rPr>
      </w:pPr>
      <w:r>
        <w:rPr>
          <w:rFonts w:cs="Inter"/>
          <w:sz w:val="24"/>
          <w:szCs w:val="24"/>
        </w:rPr>
        <w:t>Guarantee at least 3 interviewable candidates within 30 days, that have been pre-screened, assessed, and reference checked prior to submittal.</w:t>
      </w:r>
    </w:p>
    <w:p>
      <w:pPr>
        <w:pStyle w:val="Normal"/>
        <w:spacing w:lineRule="auto" w:line="240" w:before="0" w:after="0"/>
        <w:ind w:firstLine="360" w:start="720"/>
        <w:rPr>
          <w:rFonts w:cs="Inter"/>
          <w:sz w:val="24"/>
          <w:szCs w:val="24"/>
        </w:rPr>
      </w:pPr>
      <w:r>
        <w:rPr>
          <w:rFonts w:cs="Inter"/>
          <w:sz w:val="24"/>
          <w:szCs w:val="24"/>
        </w:rPr>
      </w:r>
    </w:p>
    <w:p>
      <w:pPr>
        <w:pStyle w:val="Normal"/>
        <w:spacing w:lineRule="auto" w:line="240" w:before="0" w:after="0"/>
        <w:ind w:firstLine="360" w:start="720"/>
        <w:rPr>
          <w:rFonts w:cs="Inter"/>
          <w:b/>
          <w:sz w:val="24"/>
          <w:szCs w:val="24"/>
        </w:rPr>
      </w:pPr>
      <w:r>
        <w:rPr>
          <w:rFonts w:cs="Inter"/>
          <w:b/>
          <w:sz w:val="24"/>
          <w:szCs w:val="24"/>
        </w:rPr>
        <w:t>Plan B (The Engaged Search): (equal risk)</w:t>
      </w:r>
    </w:p>
    <w:p>
      <w:pPr>
        <w:pStyle w:val="Normal"/>
        <w:spacing w:lineRule="auto" w:line="240" w:before="0" w:after="0"/>
        <w:ind w:firstLine="360" w:start="720"/>
        <w:rPr>
          <w:rFonts w:cs="Inter"/>
          <w:sz w:val="24"/>
          <w:szCs w:val="24"/>
        </w:rPr>
      </w:pPr>
      <w:r>
        <w:rPr>
          <w:rFonts w:cs="Inter"/>
          <w:sz w:val="24"/>
          <w:szCs w:val="24"/>
        </w:rPr>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$5000 engagement fee to begin the search.</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28% contingency fee less the $5000 engagement fee.</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60-day replacement policy.</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Guarantee at least 3 interviewable candidates within 30 days, that have been pre-screened, assessed, and reference checked prior to submittal.</w:t>
      </w:r>
    </w:p>
    <w:p>
      <w:pPr>
        <w:pStyle w:val="Normal"/>
        <w:spacing w:lineRule="auto" w:line="240" w:before="0" w:after="0"/>
        <w:ind w:start="720"/>
        <w:rPr>
          <w:rFonts w:cs="Inter"/>
          <w:sz w:val="24"/>
          <w:szCs w:val="24"/>
        </w:rPr>
      </w:pPr>
      <w:r>
        <w:rPr>
          <w:rFonts w:cs="Inter"/>
          <w:sz w:val="24"/>
          <w:szCs w:val="24"/>
        </w:rPr>
      </w:r>
    </w:p>
    <w:p>
      <w:pPr>
        <w:pStyle w:val="Normal"/>
        <w:spacing w:lineRule="auto" w:line="240" w:before="0" w:after="0"/>
        <w:ind w:firstLine="360" w:start="720"/>
        <w:rPr>
          <w:rFonts w:cs="Inter"/>
          <w:b/>
          <w:sz w:val="24"/>
          <w:szCs w:val="24"/>
        </w:rPr>
      </w:pPr>
      <w:r>
        <w:rPr>
          <w:rFonts w:cs="Inter"/>
          <w:b/>
          <w:sz w:val="24"/>
          <w:szCs w:val="24"/>
        </w:rPr>
        <w:t>Plan C (The Retainer Search): (their risk)</w:t>
      </w:r>
    </w:p>
    <w:p>
      <w:pPr>
        <w:pStyle w:val="Normal"/>
        <w:spacing w:lineRule="auto" w:line="240" w:before="0" w:after="0"/>
        <w:ind w:firstLine="360" w:start="720"/>
        <w:rPr>
          <w:rFonts w:cs="Inter"/>
          <w:sz w:val="24"/>
          <w:szCs w:val="24"/>
        </w:rPr>
      </w:pPr>
      <w:r>
        <w:rPr>
          <w:rFonts w:cs="Inter"/>
          <w:sz w:val="24"/>
          <w:szCs w:val="24"/>
        </w:rPr>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30% retainer fee</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1/3 to begin the search.</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1/3 at the face-to-face interview stage.</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1/3 once the candidate is placed.</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1 year sliding scale; depending on level of position replacement policy.</w:t>
      </w:r>
    </w:p>
    <w:p>
      <w:pPr>
        <w:pStyle w:val="ListParagraph"/>
        <w:numPr>
          <w:ilvl w:val="0"/>
          <w:numId w:val="3"/>
        </w:numPr>
        <w:spacing w:lineRule="auto" w:line="240" w:before="0" w:after="0"/>
        <w:ind w:hanging="360" w:start="1440"/>
        <w:contextualSpacing/>
        <w:rPr>
          <w:rFonts w:cs="Inter"/>
          <w:sz w:val="24"/>
          <w:szCs w:val="24"/>
        </w:rPr>
      </w:pPr>
      <w:r>
        <w:rPr>
          <w:rFonts w:cs="Inter"/>
          <w:sz w:val="24"/>
          <w:szCs w:val="24"/>
        </w:rPr>
        <w:t>Guarantee at least 3 interviewable candidates within 30 days, that have been pre-screened, assessed, and reference checked prior to submittal.</w:t>
      </w:r>
    </w:p>
    <w:p>
      <w:pPr>
        <w:pStyle w:val="Normal"/>
        <w:spacing w:lineRule="auto" w:line="240" w:before="0" w:after="0"/>
        <w:ind w:start="720"/>
        <w:rPr>
          <w:rFonts w:cs="Inter"/>
          <w:sz w:val="24"/>
          <w:szCs w:val="24"/>
        </w:rPr>
      </w:pPr>
      <w:r>
        <w:rPr>
          <w:rFonts w:cs="Inter"/>
          <w:sz w:val="24"/>
          <w:szCs w:val="24"/>
        </w:rPr>
      </w:r>
    </w:p>
    <w:p>
      <w:pPr>
        <w:pStyle w:val="Normal"/>
        <w:spacing w:lineRule="auto" w:line="240" w:before="0" w:after="0"/>
        <w:ind w:start="720"/>
        <w:rPr>
          <w:rFonts w:cs="Inter"/>
          <w:sz w:val="24"/>
          <w:szCs w:val="24"/>
        </w:rPr>
      </w:pPr>
      <w:r>
        <w:rPr>
          <w:rFonts w:cs="Inter"/>
          <w:sz w:val="24"/>
          <w:szCs w:val="24"/>
        </w:rPr>
        <w:t>”</w:t>
      </w:r>
      <w:r>
        <w:rPr>
          <w:rFonts w:cs="Inter"/>
          <w:sz w:val="24"/>
          <w:szCs w:val="24"/>
        </w:rPr>
        <w:t>Now John, which one of these options feel good to you?”</w:t>
      </w:r>
    </w:p>
    <w:p>
      <w:pPr>
        <w:pStyle w:val="Normal"/>
        <w:spacing w:lineRule="auto" w:line="240" w:before="0" w:after="0"/>
        <w:ind w:start="720"/>
        <w:rPr>
          <w:rFonts w:cs="Inter"/>
          <w:sz w:val="24"/>
          <w:szCs w:val="24"/>
        </w:rPr>
      </w:pPr>
      <w:r>
        <w:rPr>
          <w:rFonts w:cs="Inter"/>
          <w:sz w:val="24"/>
          <w:szCs w:val="24"/>
        </w:rPr>
      </w:r>
    </w:p>
    <w:p>
      <w:pPr>
        <w:pStyle w:val="Normal"/>
        <w:spacing w:lineRule="auto" w:line="240" w:before="0" w:after="0"/>
        <w:ind w:start="720"/>
        <w:rPr>
          <w:rFonts w:cs="Inter"/>
          <w:sz w:val="24"/>
          <w:szCs w:val="24"/>
        </w:rPr>
      </w:pPr>
      <w:r>
        <w:rPr>
          <w:rFonts w:cs="Inter"/>
          <w:sz w:val="24"/>
          <w:szCs w:val="24"/>
        </w:rPr>
        <w:t>You can feel free to create your own options. Check out the following chart and feel free to use this as a guide to determining how you will deliver your service offerings:</w:t>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Normal"/>
        <w:numPr>
          <w:ilvl w:val="0"/>
          <w:numId w:val="0"/>
        </w:numPr>
        <w:shd w:val="clear" w:color="auto" w:fill="FFFFFF"/>
        <w:spacing w:lineRule="atLeast" w:line="525" w:before="0" w:after="300"/>
        <w:jc w:val="center"/>
        <w:outlineLvl w:val="1"/>
        <w:rPr>
          <w:rFonts w:ascii="Inter" w:hAnsi="Inter" w:eastAsia="Inter" w:cs="Inter"/>
          <w:b/>
          <w:sz w:val="54"/>
          <w:szCs w:val="54"/>
        </w:rPr>
      </w:pPr>
      <w:r>
        <w:rPr>
          <w:rFonts w:eastAsia="Inter" w:cs="Inter"/>
          <w:b/>
          <w:sz w:val="54"/>
          <w:szCs w:val="54"/>
        </w:rPr>
      </w:r>
    </w:p>
    <w:p>
      <w:pPr>
        <w:pStyle w:val="Normal"/>
        <w:numPr>
          <w:ilvl w:val="0"/>
          <w:numId w:val="0"/>
        </w:numPr>
        <w:shd w:val="clear" w:color="auto" w:fill="FFFFFF"/>
        <w:spacing w:lineRule="atLeast" w:line="525" w:before="0" w:after="300"/>
        <w:jc w:val="center"/>
        <w:outlineLvl w:val="1"/>
        <w:rPr>
          <w:rFonts w:ascii="Inter" w:hAnsi="Inter" w:eastAsia="Inter" w:cs="Inter"/>
          <w:b/>
          <w:sz w:val="54"/>
          <w:szCs w:val="54"/>
        </w:rPr>
      </w:pPr>
      <w:r>
        <w:rPr>
          <w:rFonts w:eastAsia="Inter" w:cs="Inter"/>
          <w:b/>
          <w:sz w:val="54"/>
          <w:szCs w:val="54"/>
        </w:rPr>
      </w:r>
    </w:p>
    <w:p>
      <w:pPr>
        <w:pStyle w:val="Normal"/>
        <w:numPr>
          <w:ilvl w:val="0"/>
          <w:numId w:val="0"/>
        </w:numPr>
        <w:shd w:val="clear" w:color="auto" w:fill="FFFFFF"/>
        <w:spacing w:lineRule="atLeast" w:line="525" w:before="0" w:after="300"/>
        <w:jc w:val="center"/>
        <w:outlineLvl w:val="1"/>
        <w:rPr>
          <w:rFonts w:ascii="Inter" w:hAnsi="Inter" w:eastAsia="Inter" w:cs="Inter"/>
          <w:b/>
          <w:sz w:val="54"/>
          <w:szCs w:val="54"/>
        </w:rPr>
      </w:pPr>
      <w:r>
        <w:rPr>
          <w:rFonts w:eastAsia="Inter" w:cs="Inter"/>
          <w:b/>
          <w:sz w:val="54"/>
          <w:szCs w:val="54"/>
        </w:rPr>
      </w:r>
    </w:p>
    <w:p>
      <w:pPr>
        <w:pStyle w:val="Normal"/>
        <w:numPr>
          <w:ilvl w:val="0"/>
          <w:numId w:val="0"/>
        </w:numPr>
        <w:shd w:val="clear" w:color="auto" w:fill="FFFFFF"/>
        <w:spacing w:lineRule="atLeast" w:line="525" w:before="0" w:after="300"/>
        <w:jc w:val="center"/>
        <w:outlineLvl w:val="1"/>
        <w:rPr>
          <w:rFonts w:ascii="Inter" w:hAnsi="Inter" w:eastAsia="Inter" w:cs="Inter"/>
          <w:b/>
          <w:sz w:val="54"/>
          <w:szCs w:val="54"/>
        </w:rPr>
      </w:pPr>
      <w:r>
        <w:rPr>
          <w:rFonts w:eastAsia="Inter" w:cs="Inter"/>
          <w:b/>
          <w:sz w:val="54"/>
          <w:szCs w:val="54"/>
        </w:rPr>
        <w:t>Search Options &amp; Fee Structure</w:t>
      </w:r>
    </w:p>
    <w:tbl>
      <w:tblPr>
        <w:tblStyle w:val="ListTable4-Accent5"/>
        <w:tblpPr w:vertAnchor="text" w:horzAnchor="margin" w:leftFromText="180" w:rightFromText="180" w:tblpX="435" w:tblpY="356"/>
        <w:tblW w:w="4800" w:type="pct"/>
        <w:jc w:val="start"/>
        <w:tblInd w:w="-5" w:type="dxa"/>
        <w:tblLayout w:type="fixed"/>
        <w:tblCellMar>
          <w:top w:w="0" w:type="dxa"/>
          <w:start w:w="108" w:type="dxa"/>
          <w:bottom w:w="0" w:type="dxa"/>
          <w:end w:w="108" w:type="dxa"/>
        </w:tblCellMar>
        <w:tblLook w:val="0660" w:noHBand="1" w:noVBand="1" w:firstColumn="0" w:lastRow="1" w:lastColumn="0" w:firstRow="1"/>
      </w:tblPr>
      <w:tblGrid>
        <w:gridCol w:w="2293"/>
        <w:gridCol w:w="2547"/>
        <w:gridCol w:w="2635"/>
        <w:gridCol w:w="2892"/>
      </w:tblGrid>
      <w:tr>
        <w:trPr>
          <w:cnfStyle w:val="100000000000" w:firstRow="1" w:lastRow="0" w:firstColumn="0" w:lastColumn="0" w:oddVBand="0" w:evenVBand="0" w:oddHBand="0" w:evenHBand="0" w:firstRowFirstColumn="0" w:firstRowLastColumn="0" w:lastRowFirstColumn="0" w:lastRowLastColumn="0"/>
        </w:trPr>
        <w:tc>
          <w:tcPr>
            <w:tcW w:w="2293" w:type="dxa"/>
            <w:tcBorders>
              <w:top w:val="single" w:sz="4" w:space="0" w:color="4472C4"/>
              <w:start w:val="single" w:sz="4" w:space="0" w:color="4472C4"/>
              <w:bottom w:val="single" w:sz="4" w:space="0" w:color="4472C4"/>
              <w:end w:val="nil"/>
            </w:tcBorders>
            <w:shd w:color="auto" w:fill="7030A0" w:val="clear"/>
          </w:tcPr>
          <w:p>
            <w:pPr>
              <w:pStyle w:val="Normal"/>
              <w:widowControl/>
              <w:spacing w:lineRule="auto" w:line="240" w:before="0" w:after="0"/>
              <w:jc w:val="start"/>
              <w:rPr>
                <w:rFonts w:ascii="Inter" w:hAnsi="Inter" w:eastAsia="Inter" w:cs=""/>
                <w:b/>
                <w:bCs/>
                <w:color w:themeColor="background1" w:val="FFFFFF"/>
                <w:kern w:val="0"/>
                <w:sz w:val="22"/>
                <w:szCs w:val="22"/>
                <w:lang w:val="en-US" w:eastAsia="en-US" w:bidi="ar-SA"/>
              </w:rPr>
            </w:pPr>
            <w:r>
              <w:rPr>
                <w:rFonts w:eastAsia="Inter" w:cs=""/>
                <w:b/>
                <w:bCs/>
                <w:color w:themeColor="background1" w:val="FFFFFF"/>
                <w:kern w:val="0"/>
                <w:sz w:val="22"/>
                <w:szCs w:val="22"/>
                <w:lang w:val="en-US" w:eastAsia="en-US" w:bidi="ar-SA"/>
              </w:rPr>
            </w:r>
          </w:p>
        </w:tc>
        <w:tc>
          <w:tcPr>
            <w:tcW w:w="2547" w:type="dxa"/>
            <w:tcBorders>
              <w:top w:val="single" w:sz="4" w:space="0" w:color="4472C4"/>
              <w:start w:val="nil"/>
              <w:bottom w:val="single" w:sz="4" w:space="0" w:color="4472C4"/>
              <w:end w:val="nil"/>
            </w:tcBorders>
            <w:shd w:color="auto" w:fill="7030A0" w:val="clear"/>
          </w:tcPr>
          <w:p>
            <w:pPr>
              <w:pStyle w:val="Normal"/>
              <w:widowControl/>
              <w:spacing w:lineRule="auto" w:line="240" w:before="0" w:after="0"/>
              <w:jc w:val="start"/>
              <w:rPr>
                <w:rFonts w:ascii="Inter" w:hAnsi="Inter" w:eastAsia="Inter" w:cs=""/>
                <w:b/>
                <w:bCs/>
                <w:color w:themeColor="background1" w:val="FFFFFF"/>
                <w:kern w:val="0"/>
                <w:sz w:val="22"/>
                <w:szCs w:val="22"/>
                <w:lang w:val="en-US" w:eastAsia="en-US" w:bidi="ar-SA"/>
              </w:rPr>
            </w:pPr>
            <w:r>
              <w:rPr>
                <w:rFonts w:eastAsia="Inter" w:cs=""/>
                <w:b/>
                <w:bCs/>
                <w:color w:themeColor="background1" w:val="FFFFFF"/>
                <w:kern w:val="0"/>
                <w:sz w:val="22"/>
                <w:szCs w:val="22"/>
                <w:lang w:val="en-US" w:eastAsia="en-US" w:bidi="ar-SA"/>
              </w:rPr>
              <w:t>Contingent Search</w:t>
            </w:r>
          </w:p>
        </w:tc>
        <w:tc>
          <w:tcPr>
            <w:tcW w:w="2635" w:type="dxa"/>
            <w:tcBorders>
              <w:top w:val="single" w:sz="4" w:space="0" w:color="4472C4"/>
              <w:start w:val="nil"/>
              <w:bottom w:val="single" w:sz="4" w:space="0" w:color="4472C4"/>
              <w:end w:val="nil"/>
            </w:tcBorders>
            <w:shd w:color="auto" w:fill="7030A0" w:val="clear"/>
          </w:tcPr>
          <w:p>
            <w:pPr>
              <w:pStyle w:val="Normal"/>
              <w:widowControl/>
              <w:spacing w:lineRule="auto" w:line="240" w:before="0" w:after="0"/>
              <w:jc w:val="start"/>
              <w:rPr>
                <w:rFonts w:ascii="Inter" w:hAnsi="Inter" w:eastAsia="Inter" w:cs=""/>
                <w:b/>
                <w:bCs/>
                <w:color w:themeColor="background1" w:val="FFFFFF"/>
                <w:kern w:val="0"/>
                <w:sz w:val="22"/>
                <w:szCs w:val="22"/>
                <w:lang w:val="en-US" w:eastAsia="en-US" w:bidi="ar-SA"/>
              </w:rPr>
            </w:pPr>
            <w:r>
              <w:rPr>
                <w:rFonts w:eastAsia="Inter" w:cs=""/>
                <w:b/>
                <w:bCs/>
                <w:color w:themeColor="background1" w:val="FFFFFF"/>
                <w:kern w:val="0"/>
                <w:sz w:val="22"/>
                <w:szCs w:val="22"/>
                <w:lang w:val="en-US" w:eastAsia="en-US" w:bidi="ar-SA"/>
              </w:rPr>
              <w:t>Engaged Search</w:t>
            </w:r>
          </w:p>
        </w:tc>
        <w:tc>
          <w:tcPr>
            <w:tcW w:w="2892" w:type="dxa"/>
            <w:tcBorders>
              <w:top w:val="single" w:sz="4" w:space="0" w:color="4472C4"/>
              <w:start w:val="nil"/>
              <w:bottom w:val="single" w:sz="4" w:space="0" w:color="4472C4"/>
              <w:end w:val="single" w:sz="4" w:space="0" w:color="4472C4"/>
            </w:tcBorders>
            <w:shd w:color="auto" w:fill="7030A0" w:val="clear"/>
          </w:tcPr>
          <w:p>
            <w:pPr>
              <w:pStyle w:val="Normal"/>
              <w:widowControl/>
              <w:spacing w:lineRule="auto" w:line="240" w:before="0" w:after="0"/>
              <w:jc w:val="start"/>
              <w:rPr>
                <w:rFonts w:ascii="Inter" w:hAnsi="Inter" w:eastAsia="Inter" w:cs=""/>
                <w:b/>
                <w:bCs/>
                <w:color w:themeColor="background1" w:val="FFFFFF"/>
                <w:kern w:val="0"/>
                <w:sz w:val="22"/>
                <w:szCs w:val="22"/>
                <w:lang w:val="en-US" w:eastAsia="en-US" w:bidi="ar-SA"/>
              </w:rPr>
            </w:pPr>
            <w:r>
              <w:rPr>
                <w:rFonts w:eastAsia="Inter" w:cs=""/>
                <w:b/>
                <w:bCs/>
                <w:color w:themeColor="background1" w:val="FFFFFF"/>
                <w:kern w:val="0"/>
                <w:sz w:val="22"/>
                <w:szCs w:val="22"/>
                <w:lang w:val="en-US" w:eastAsia="en-US" w:bidi="ar-SA"/>
              </w:rPr>
              <w:t>Retained Search</w:t>
            </w:r>
          </w:p>
        </w:tc>
      </w:tr>
      <w:tr>
        <w:trPr/>
        <w:tc>
          <w:tcPr>
            <w:tcW w:w="2293" w:type="dxa"/>
            <w:tcBorders>
              <w:end w:val="nil"/>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2547" w:type="dxa"/>
            <w:tcBorders>
              <w:start w:val="nil"/>
              <w:end w:val="nil"/>
            </w:tcBorders>
          </w:tcPr>
          <w:p>
            <w:pPr>
              <w:pStyle w:val="Normal"/>
              <w:widowControl/>
              <w:spacing w:lineRule="auto" w:line="240" w:before="0" w:after="0"/>
              <w:jc w:val="start"/>
              <w:rPr>
                <w:rStyle w:val="SubtleEmphasis"/>
              </w:rPr>
            </w:pPr>
            <w:r>
              <w:rPr>
                <w:rFonts w:eastAsia="Inter" w:cs=""/>
                <w:kern w:val="0"/>
                <w:sz w:val="22"/>
                <w:szCs w:val="22"/>
                <w:lang w:val="en-US" w:eastAsia="en-US" w:bidi="ar-SA"/>
              </w:rPr>
            </w:r>
          </w:p>
        </w:tc>
        <w:tc>
          <w:tcPr>
            <w:tcW w:w="2635" w:type="dxa"/>
            <w:tcBorders>
              <w:start w:val="nil"/>
              <w:end w:val="nil"/>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c>
          <w:tcPr>
            <w:tcW w:w="2892" w:type="dxa"/>
            <w:tcBorders>
              <w:start w:val="nil"/>
            </w:tcBorders>
          </w:tcPr>
          <w:p>
            <w:pPr>
              <w:pStyle w:val="Normal"/>
              <w:widowControl/>
              <w:spacing w:lineRule="auto" w:line="240" w:before="0" w:after="0"/>
              <w:jc w:val="start"/>
              <w:rPr>
                <w:rFonts w:ascii="Inter" w:hAnsi="Inter" w:eastAsia="Inter" w:cs=""/>
                <w:kern w:val="0"/>
                <w:sz w:val="22"/>
                <w:szCs w:val="22"/>
                <w:lang w:val="en-US" w:eastAsia="en-US" w:bidi="ar-SA"/>
              </w:rPr>
            </w:pPr>
            <w:r>
              <w:rPr>
                <w:rFonts w:eastAsia="Inter" w:cs=""/>
                <w:kern w:val="0"/>
                <w:sz w:val="22"/>
                <w:szCs w:val="22"/>
                <w:lang w:val="en-US" w:eastAsia="en-US" w:bidi="ar-SA"/>
              </w:rPr>
            </w:r>
          </w:p>
        </w:tc>
      </w:tr>
      <w:tr>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Best For:</w:t>
            </w:r>
          </w:p>
        </w:tc>
        <w:tc>
          <w:tcPr>
            <w:tcW w:w="2547"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Companies who wish to maintain ability to fill positions with internal or other recruitment efforts.</w:t>
            </w:r>
          </w:p>
        </w:tc>
        <w:tc>
          <w:tcPr>
            <w:tcW w:w="2635"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Companies who wish to experience an individualized search process where positions are filled no matter how difficult the search is. A dedicated resource will be assigned.</w:t>
            </w:r>
          </w:p>
        </w:tc>
        <w:tc>
          <w:tcPr>
            <w:tcW w:w="2892" w:type="dxa"/>
            <w:tcBorders>
              <w:start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Critical Positions</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Confidential Search</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Guaranteed  Results</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Positions where the real-life industry experience and knowledge is critical.</w:t>
            </w:r>
          </w:p>
        </w:tc>
      </w:tr>
      <w:tr>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Resources:</w:t>
            </w:r>
          </w:p>
        </w:tc>
        <w:tc>
          <w:tcPr>
            <w:tcW w:w="2547"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Full access to our database and recruitment within our known candidate profiles.</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r>
          </w:p>
        </w:tc>
        <w:tc>
          <w:tcPr>
            <w:tcW w:w="2635"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Full access to our database and recruitment within our known candidate profiles.</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External recruiting through our extensive network.</w:t>
            </w:r>
          </w:p>
        </w:tc>
        <w:tc>
          <w:tcPr>
            <w:tcW w:w="2892" w:type="dxa"/>
            <w:tcBorders>
              <w:start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Full research to include primary research through our network, honed over 25+ years in industry; secondary research including patent searches, industry publications, etc.</w:t>
            </w:r>
          </w:p>
        </w:tc>
      </w:tr>
      <w:tr>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Candidate Exclusivity:</w:t>
            </w:r>
          </w:p>
        </w:tc>
        <w:tc>
          <w:tcPr>
            <w:tcW w:w="2547"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Candidates may be presented to and represented by us to other clients.</w:t>
            </w:r>
          </w:p>
        </w:tc>
        <w:tc>
          <w:tcPr>
            <w:tcW w:w="2635"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No - candidates may be presented to other clients simultaneously.</w:t>
            </w:r>
          </w:p>
        </w:tc>
        <w:tc>
          <w:tcPr>
            <w:tcW w:w="2892" w:type="dxa"/>
            <w:tcBorders>
              <w:start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Yes - candidates will be presented exclusively to you the client.</w:t>
            </w:r>
          </w:p>
        </w:tc>
      </w:tr>
      <w:tr>
        <w:trPr/>
        <w:tc>
          <w:tcPr>
            <w:tcW w:w="2293" w:type="dxa"/>
            <w:tcBorders>
              <w:end w:val="nil"/>
            </w:tcBorders>
          </w:tcPr>
          <w:p>
            <w:pPr>
              <w:pStyle w:val="Normal"/>
              <w:widowControl/>
              <w:spacing w:lineRule="atLeast"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Candidate Assessment</w:t>
            </w:r>
          </w:p>
          <w:p>
            <w:pPr>
              <w:pStyle w:val="Normal"/>
              <w:widowControl/>
              <w:spacing w:lineRule="atLeast"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Third party, behavioral</w:t>
              <w:br/>
              <w:t>web-based reference </w:t>
              <w:br/>
              <w:t>checking using </w:t>
              <w:br/>
              <w:t>Skill Survey+</w:t>
            </w:r>
          </w:p>
          <w:p>
            <w:pPr>
              <w:pStyle w:val="Normal"/>
              <w:widowControl/>
              <w:spacing w:lineRule="auto" w:line="240" w:before="0" w:after="0"/>
              <w:jc w:val="start"/>
              <w:rPr>
                <w:color w:val="7030A0"/>
                <w:sz w:val="20"/>
                <w:szCs w:val="20"/>
              </w:rPr>
            </w:pPr>
            <w:hyperlink r:id="rId2" w:tgtFrame="_blank">
              <w:r>
                <w:rPr>
                  <w:rStyle w:val="Hyperlink"/>
                  <w:rFonts w:eastAsia="" w:cs="" w:eastAsiaTheme="minorEastAsia"/>
                  <w:b/>
                  <w:color w:val="7030A0"/>
                  <w:kern w:val="0"/>
                  <w:sz w:val="20"/>
                  <w:szCs w:val="20"/>
                  <w:lang w:val="en-US" w:eastAsia="en-US" w:bidi="ar-SA"/>
                </w:rPr>
                <w:t>(More Info?)</w:t>
              </w:r>
            </w:hyperlink>
          </w:p>
        </w:tc>
        <w:tc>
          <w:tcPr>
            <w:tcW w:w="2547"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Candidate assessment includes resume, and recruiter comments.</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r>
          </w:p>
        </w:tc>
        <w:tc>
          <w:tcPr>
            <w:tcW w:w="2635"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Candidate assessment includes resume, limited work product examples, and recruiter comments.</w:t>
            </w:r>
          </w:p>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Verbal presentation by lead recruiter to hiring team.</w:t>
            </w:r>
          </w:p>
        </w:tc>
        <w:tc>
          <w:tcPr>
            <w:tcW w:w="2892" w:type="dxa"/>
            <w:tcBorders>
              <w:start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Full Candidate assessment to include professional profiles, resume, work product example and pre-screening video submittals. Verbal presentation by lead recruiter to hiring team. Skill Survey conducted for candidates selected for face to face interviews.</w:t>
            </w:r>
          </w:p>
        </w:tc>
      </w:tr>
      <w:tr>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Service Fee:</w:t>
            </w:r>
          </w:p>
        </w:tc>
        <w:tc>
          <w:tcPr>
            <w:tcW w:w="2547" w:type="dxa"/>
            <w:tcBorders>
              <w:start w:val="nil"/>
              <w:end w:val="nil"/>
            </w:tcBorders>
          </w:tcPr>
          <w:p>
            <w:pPr>
              <w:pStyle w:val="DecimalAligned"/>
              <w:widowControl/>
              <w:tabs>
                <w:tab w:val="decimal" w:pos="0"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25% of first year base salary</w:t>
            </w:r>
          </w:p>
        </w:tc>
        <w:tc>
          <w:tcPr>
            <w:tcW w:w="2635" w:type="dxa"/>
            <w:tcBorders>
              <w:start w:val="nil"/>
              <w:end w:val="nil"/>
            </w:tcBorders>
          </w:tcPr>
          <w:p>
            <w:pPr>
              <w:pStyle w:val="DecimalAligned"/>
              <w:widowControl/>
              <w:tabs>
                <w:tab w:val="decimal" w:pos="0"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28% of first year base salary</w:t>
            </w:r>
          </w:p>
        </w:tc>
        <w:tc>
          <w:tcPr>
            <w:tcW w:w="2892" w:type="dxa"/>
            <w:tcBorders>
              <w:start w:val="nil"/>
            </w:tcBorders>
          </w:tcPr>
          <w:p>
            <w:pPr>
              <w:pStyle w:val="DecimalAligned"/>
              <w:widowControl/>
              <w:tabs>
                <w:tab w:val="decimal" w:pos="0"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30% of first year base salary</w:t>
            </w:r>
          </w:p>
        </w:tc>
      </w:tr>
      <w:tr>
        <w:trPr>
          <w:trHeight w:val="1398" w:hRule="atLeast"/>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Performance Guarantee:</w:t>
            </w:r>
          </w:p>
        </w:tc>
        <w:tc>
          <w:tcPr>
            <w:tcW w:w="2547"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We agree to present qualified candidates within your scope of requirements.</w:t>
            </w:r>
          </w:p>
        </w:tc>
        <w:tc>
          <w:tcPr>
            <w:tcW w:w="2635"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We agree to present qualified candidates within your scope of requirements and with a defined period of time.</w:t>
            </w:r>
          </w:p>
        </w:tc>
        <w:tc>
          <w:tcPr>
            <w:tcW w:w="2892" w:type="dxa"/>
            <w:tcBorders>
              <w:start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We agree to present at least three qualified candidates per opening within a defined period of time until an offer is accepted.</w:t>
            </w:r>
          </w:p>
        </w:tc>
      </w:tr>
      <w:tr>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Replacement Guarantee:</w:t>
            </w:r>
          </w:p>
        </w:tc>
        <w:tc>
          <w:tcPr>
            <w:tcW w:w="2547" w:type="dxa"/>
            <w:tcBorders>
              <w:start w:val="nil"/>
              <w:end w:val="nil"/>
            </w:tcBorders>
          </w:tcPr>
          <w:p>
            <w:pPr>
              <w:pStyle w:val="DecimalAligned"/>
              <w:widowControl/>
              <w:tabs>
                <w:tab w:val="decimal" w:pos="121"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30 Days</w:t>
            </w:r>
          </w:p>
        </w:tc>
        <w:tc>
          <w:tcPr>
            <w:tcW w:w="2635" w:type="dxa"/>
            <w:tcBorders>
              <w:start w:val="nil"/>
              <w:end w:val="nil"/>
            </w:tcBorders>
          </w:tcPr>
          <w:p>
            <w:pPr>
              <w:pStyle w:val="DecimalAligned"/>
              <w:widowControl/>
              <w:tabs>
                <w:tab w:val="decimal" w:pos="254"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90 Days</w:t>
            </w:r>
          </w:p>
        </w:tc>
        <w:tc>
          <w:tcPr>
            <w:tcW w:w="2892" w:type="dxa"/>
            <w:tcBorders>
              <w:start w:val="nil"/>
            </w:tcBorders>
          </w:tcPr>
          <w:p>
            <w:pPr>
              <w:pStyle w:val="DecimalAligned"/>
              <w:widowControl/>
              <w:tabs>
                <w:tab w:val="decimal" w:pos="43"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1 year sliding scale; depending on level of position.</w:t>
            </w:r>
          </w:p>
        </w:tc>
      </w:tr>
      <w:tr>
        <w:trPr/>
        <w:tc>
          <w:tcPr>
            <w:tcW w:w="2293" w:type="dxa"/>
            <w:tcBorders>
              <w:end w:val="nil"/>
            </w:tcBorders>
          </w:tcPr>
          <w:p>
            <w:pPr>
              <w:pStyle w:val="Normal"/>
              <w:widowControl/>
              <w:spacing w:lineRule="auto" w:line="240" w:before="0" w:after="0"/>
              <w:jc w:val="start"/>
              <w:rPr>
                <w:rFonts w:eastAsia="" w:eastAsiaTheme="minorEastAsia"/>
                <w:b/>
                <w:color w:val="7030A0"/>
                <w:sz w:val="20"/>
                <w:szCs w:val="20"/>
              </w:rPr>
            </w:pPr>
            <w:r>
              <w:rPr>
                <w:rFonts w:eastAsia="" w:cs="" w:eastAsiaTheme="minorEastAsia"/>
                <w:b/>
                <w:color w:val="7030A0"/>
                <w:kern w:val="0"/>
                <w:sz w:val="20"/>
                <w:szCs w:val="20"/>
                <w:lang w:val="en-US" w:eastAsia="en-US" w:bidi="ar-SA"/>
              </w:rPr>
              <w:t>Payment:</w:t>
            </w:r>
          </w:p>
        </w:tc>
        <w:tc>
          <w:tcPr>
            <w:tcW w:w="2547" w:type="dxa"/>
            <w:tcBorders>
              <w:start w:val="nil"/>
              <w:end w:val="nil"/>
            </w:tcBorders>
          </w:tcPr>
          <w:p>
            <w:pPr>
              <w:pStyle w:val="DecimalAligned"/>
              <w:widowControl/>
              <w:tabs>
                <w:tab w:val="decimal" w:pos="108"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25% of first year base salary paid upon successful placement.</w:t>
            </w:r>
          </w:p>
        </w:tc>
        <w:tc>
          <w:tcPr>
            <w:tcW w:w="2635" w:type="dxa"/>
            <w:tcBorders>
              <w:start w:val="nil"/>
              <w:end w:val="nil"/>
            </w:tcBorders>
          </w:tcPr>
          <w:p>
            <w:pPr>
              <w:pStyle w:val="DecimalAligned"/>
              <w:widowControl/>
              <w:spacing w:lineRule="auto" w:line="240" w:before="0" w:after="0"/>
              <w:jc w:val="start"/>
              <w:rPr>
                <w:color w:themeColor="text1" w:val="000000"/>
                <w:sz w:val="20"/>
                <w:szCs w:val="20"/>
              </w:rPr>
            </w:pPr>
            <w:r>
              <w:rPr>
                <w:color w:themeColor="text1" w:val="000000"/>
                <w:kern w:val="0"/>
                <w:sz w:val="20"/>
                <w:szCs w:val="20"/>
                <w:lang w:val="en-US" w:eastAsia="en-US" w:bidi="ar-SA"/>
              </w:rPr>
              <w:t>$5,000 of fee paid up front with remainder paid only upon successful placement.</w:t>
            </w:r>
          </w:p>
        </w:tc>
        <w:tc>
          <w:tcPr>
            <w:tcW w:w="2892" w:type="dxa"/>
            <w:tcBorders>
              <w:start w:val="nil"/>
            </w:tcBorders>
          </w:tcPr>
          <w:p>
            <w:pPr>
              <w:pStyle w:val="DecimalAligned"/>
              <w:widowControl/>
              <w:tabs>
                <w:tab w:val="decimal" w:pos="113"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1/3 retainer up-front</w:t>
            </w:r>
          </w:p>
          <w:p>
            <w:pPr>
              <w:pStyle w:val="DecimalAligned"/>
              <w:widowControl/>
              <w:tabs>
                <w:tab w:val="decimal" w:pos="23"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1/3 face-to-face interview</w:t>
            </w:r>
          </w:p>
          <w:p>
            <w:pPr>
              <w:pStyle w:val="DecimalAligned"/>
              <w:widowControl/>
              <w:tabs>
                <w:tab w:val="decimal" w:pos="23" w:leader="none"/>
                <w:tab w:val="decimal" w:pos="360" w:leader="none"/>
              </w:tabs>
              <w:spacing w:lineRule="auto" w:line="240" w:before="0" w:after="0"/>
              <w:jc w:val="start"/>
              <w:rPr>
                <w:color w:themeColor="text1" w:val="000000"/>
                <w:sz w:val="20"/>
                <w:szCs w:val="20"/>
              </w:rPr>
            </w:pPr>
            <w:r>
              <w:rPr>
                <w:color w:themeColor="text1" w:val="000000"/>
                <w:kern w:val="0"/>
                <w:sz w:val="20"/>
                <w:szCs w:val="20"/>
                <w:lang w:val="en-US" w:eastAsia="en-US" w:bidi="ar-SA"/>
              </w:rPr>
              <w:t>1/3 upon start date</w:t>
            </w:r>
          </w:p>
        </w:tc>
      </w:tr>
      <w:tr>
        <w:trPr>
          <w:cnfStyle w:val="010000000000" w:firstRow="0" w:lastRow="1" w:firstColumn="0" w:lastColumn="0" w:oddVBand="0" w:evenVBand="0" w:oddHBand="0" w:evenHBand="0" w:firstRowFirstColumn="0" w:firstRowLastColumn="0" w:lastRowFirstColumn="0" w:lastRowLastColumn="0"/>
        </w:trPr>
        <w:tc>
          <w:tcPr>
            <w:tcW w:w="10367" w:type="dxa"/>
            <w:gridSpan w:val="4"/>
            <w:tcBorders>
              <w:top w:val="double" w:sz="4" w:space="0" w:color="8EAADB"/>
            </w:tcBorders>
          </w:tcPr>
          <w:p>
            <w:pPr>
              <w:pStyle w:val="Normal"/>
              <w:widowControl/>
              <w:shd w:val="clear" w:color="auto" w:fill="FFFFFF"/>
              <w:spacing w:lineRule="atLeast" w:line="375" w:before="300" w:after="300"/>
              <w:jc w:val="center"/>
              <w:rPr>
                <w:rFonts w:ascii="Inter" w:hAnsi="Inter" w:eastAsia="Inter" w:cs="Inter"/>
                <w:b w:val="false"/>
                <w:color w:val="2E2E2E"/>
                <w:sz w:val="16"/>
                <w:szCs w:val="21"/>
              </w:rPr>
            </w:pPr>
            <w:r>
              <w:rPr>
                <w:rFonts w:eastAsia="Inter" w:cs="Inter"/>
                <w:b w:val="false"/>
                <w:bCs/>
                <w:color w:val="2E2E2E"/>
                <w:kern w:val="0"/>
                <w:sz w:val="16"/>
                <w:szCs w:val="21"/>
                <w:lang w:val="en-US" w:eastAsia="en-US" w:bidi="ar-SA"/>
              </w:rPr>
              <w:t>***All information and rates subject to change without prior notice.***</w:t>
            </w:r>
          </w:p>
        </w:tc>
      </w:tr>
    </w:tbl>
    <w:p>
      <w:pPr>
        <w:pStyle w:val="Normal"/>
        <w:shd w:val="clear" w:color="auto" w:fill="FFFFFF"/>
        <w:spacing w:lineRule="atLeast" w:line="375" w:before="300" w:after="300"/>
        <w:rPr>
          <w:rFonts w:ascii="Inter" w:hAnsi="Inter" w:eastAsia="Inter" w:cs="Inter"/>
          <w:color w:val="2E2E2E"/>
          <w:sz w:val="21"/>
          <w:szCs w:val="21"/>
        </w:rPr>
      </w:pPr>
      <w:r/>
      <w:r>
        <w:rPr>
          <w:rFonts w:eastAsia="Inter" w:cs="Inter"/>
          <w:color w:val="2E2E2E"/>
          <w:sz w:val="21"/>
          <w:szCs w:val="21"/>
        </w:rPr>
        <w:t xml:space="preserve">*** YOUR COMPANY NAME does not currently offer a contingency option. We are happy to supply recommendations of excellent recruiters who may have the capacity and bandwidth to conduct a contingency search. </w:t>
      </w:r>
      <w:r>
        <w:rPr>
          <w:rFonts w:eastAsia="Inter" w:cs="Inter"/>
          <w:b/>
          <w:color w:val="2E2E2E"/>
          <w:sz w:val="21"/>
          <w:szCs w:val="21"/>
        </w:rPr>
        <w:t>(</w:t>
      </w:r>
      <w:r>
        <w:rPr>
          <w:rFonts w:eastAsia="Inter" w:cs="Inter"/>
          <w:b/>
          <w:color w:val="FF0000"/>
          <w:sz w:val="21"/>
          <w:szCs w:val="21"/>
        </w:rPr>
        <w:t>If you choose not to offer contingency search as a service.)</w:t>
      </w:r>
    </w:p>
    <w:p>
      <w:pPr>
        <w:pStyle w:val="Normal"/>
        <w:spacing w:lineRule="auto" w:line="240" w:before="0" w:after="0"/>
        <w:rPr>
          <w:rFonts w:cs="Inter"/>
          <w:sz w:val="24"/>
          <w:szCs w:val="24"/>
        </w:rPr>
      </w:pPr>
      <w:r>
        <w:rPr>
          <w:rFonts w:cs="Inter"/>
          <w:sz w:val="24"/>
          <w:szCs w:val="24"/>
        </w:rPr>
      </w:r>
    </w:p>
    <w:p>
      <w:pPr>
        <w:pStyle w:val="Normal"/>
        <w:spacing w:lineRule="auto" w:line="240" w:before="0" w:after="0"/>
        <w:rPr>
          <w:rFonts w:cs="Inter"/>
          <w:sz w:val="24"/>
          <w:szCs w:val="24"/>
        </w:rPr>
      </w:pPr>
      <w:r>
        <w:rPr>
          <w:rFonts w:cs="Inter"/>
          <w:sz w:val="24"/>
          <w:szCs w:val="24"/>
        </w:rPr>
      </w:r>
    </w:p>
    <w:p>
      <w:pPr>
        <w:pStyle w:val="Heading3"/>
        <w:spacing w:before="240" w:after="60"/>
        <w:ind w:start="-720" w:end="-720"/>
        <w:jc w:val="center"/>
        <w:rPr>
          <w:rFonts w:ascii="Inter" w:hAnsi="Inter" w:eastAsia="Inter" w:cs="Inter" w:asciiTheme="minorHAnsi" w:eastAsiaTheme="minorHAnsi" w:hAnsiTheme="minorHAnsi"/>
          <w:b/>
          <w:color w:val="auto"/>
        </w:rPr>
      </w:pPr>
      <w:bookmarkStart w:id="0" w:name="_Toc37991966"/>
      <w:r>
        <w:rPr>
          <w:rFonts w:eastAsia="Inter" w:cs="Inter" w:eastAsiaTheme="minorHAnsi"/>
          <w:b/>
          <w:color w:val="auto"/>
        </w:rPr>
        <w:t>Sample Fee Schedule</w:t>
      </w:r>
      <w:bookmarkEnd w:id="0"/>
    </w:p>
    <w:p>
      <w:pPr>
        <w:pStyle w:val="Normal"/>
        <w:spacing w:beforeAutospacing="1" w:afterAutospacing="1"/>
        <w:ind w:start="720" w:end="450"/>
        <w:jc w:val="both"/>
        <w:rPr>
          <w:rFonts w:cs="Inter"/>
          <w:sz w:val="24"/>
          <w:szCs w:val="24"/>
        </w:rPr>
      </w:pPr>
      <w:r>
        <w:rPr>
          <w:rFonts w:cs="Inter"/>
          <w:sz w:val="24"/>
          <w:szCs w:val="24"/>
        </w:rPr>
        <w:t>The fee for our placement service for a full-time hire is based on 1% per $1,000 of the annual compensation package capping at X%. We charge fees only when a referral or introduction of our candidate has resulted in their being hired. The following is a standard fee schedule with a maximum fee of 35%:</w:t>
      </w:r>
    </w:p>
    <w:p>
      <w:pPr>
        <w:pStyle w:val="Normal"/>
        <w:spacing w:beforeAutospacing="1" w:afterAutospacing="1"/>
        <w:ind w:start="720" w:end="450"/>
        <w:jc w:val="both"/>
        <w:rPr>
          <w:rFonts w:cs="Inter"/>
          <w:b/>
          <w:sz w:val="24"/>
          <w:szCs w:val="24"/>
        </w:rPr>
      </w:pPr>
      <w:r>
        <w:rPr>
          <w:rFonts w:cs="Inter"/>
          <w:b/>
          <w:sz w:val="24"/>
          <w:szCs w:val="24"/>
        </w:rPr>
        <w:t>The table below illustrates an example fee schedule:</w:t>
      </w:r>
    </w:p>
    <w:tbl>
      <w:tblPr>
        <w:tblW w:w="8617" w:type="dxa"/>
        <w:jc w:val="center"/>
        <w:tblInd w:w="0" w:type="dxa"/>
        <w:tblLayout w:type="fixed"/>
        <w:tblCellMar>
          <w:top w:w="75" w:type="dxa"/>
          <w:start w:w="75" w:type="dxa"/>
          <w:bottom w:w="75" w:type="dxa"/>
          <w:end w:w="75" w:type="dxa"/>
        </w:tblCellMar>
        <w:tblLook w:val="04a0" w:noHBand="0" w:noVBand="1" w:firstColumn="1" w:lastRow="0" w:lastColumn="0" w:firstRow="1"/>
      </w:tblPr>
      <w:tblGrid>
        <w:gridCol w:w="2101"/>
        <w:gridCol w:w="837"/>
        <w:gridCol w:w="1996"/>
        <w:gridCol w:w="835"/>
        <w:gridCol w:w="1998"/>
        <w:gridCol w:w="849"/>
      </w:tblGrid>
      <w:tr>
        <w:trPr/>
        <w:tc>
          <w:tcPr>
            <w:tcW w:w="2101" w:type="dxa"/>
            <w:tcBorders>
              <w:top w:val="outset" w:sz="6" w:space="0" w:color="000000"/>
              <w:start w:val="outset" w:sz="6" w:space="0" w:color="000000"/>
              <w:bottom w:val="outset" w:sz="6" w:space="0" w:color="000000"/>
              <w:end w:val="outset" w:sz="6" w:space="0" w:color="000000"/>
            </w:tcBorders>
            <w:shd w:color="auto" w:fill="CCCCFF" w:val="clear"/>
          </w:tcPr>
          <w:p>
            <w:pPr>
              <w:pStyle w:val="Normal"/>
              <w:spacing w:beforeAutospacing="1" w:afterAutospacing="1"/>
              <w:jc w:val="both"/>
              <w:rPr>
                <w:sz w:val="24"/>
                <w:szCs w:val="24"/>
              </w:rPr>
            </w:pPr>
            <w:r>
              <w:rPr>
                <w:rFonts w:cs="Inter"/>
                <w:b/>
                <w:bCs/>
                <w:sz w:val="20"/>
                <w:szCs w:val="20"/>
              </w:rPr>
              <w:t>Annual</w:t>
            </w:r>
          </w:p>
          <w:p>
            <w:pPr>
              <w:pStyle w:val="Normal"/>
              <w:spacing w:beforeAutospacing="1" w:after="0"/>
              <w:jc w:val="both"/>
              <w:rPr/>
            </w:pPr>
            <w:r>
              <w:rPr>
                <w:rFonts w:cs="Inter"/>
                <w:b/>
                <w:bCs/>
                <w:sz w:val="20"/>
                <w:szCs w:val="20"/>
              </w:rPr>
              <w:t>Starting Salary</w:t>
            </w:r>
          </w:p>
        </w:tc>
        <w:tc>
          <w:tcPr>
            <w:tcW w:w="837" w:type="dxa"/>
            <w:tcBorders>
              <w:top w:val="outset" w:sz="6" w:space="0" w:color="000000"/>
              <w:start w:val="outset" w:sz="6" w:space="0" w:color="000000"/>
              <w:bottom w:val="outset" w:sz="6" w:space="0" w:color="000000"/>
              <w:end w:val="outset" w:sz="6" w:space="0" w:color="000000"/>
            </w:tcBorders>
            <w:shd w:color="auto" w:fill="CCCCFF" w:val="clear"/>
          </w:tcPr>
          <w:p>
            <w:pPr>
              <w:pStyle w:val="Normal"/>
              <w:spacing w:beforeAutospacing="1" w:after="0"/>
              <w:jc w:val="both"/>
              <w:rPr/>
            </w:pPr>
            <w:r>
              <w:rPr>
                <w:rFonts w:cs="Inter"/>
                <w:b/>
                <w:bCs/>
                <w:sz w:val="20"/>
                <w:szCs w:val="20"/>
              </w:rPr>
              <w:t>FEE</w:t>
            </w:r>
          </w:p>
        </w:tc>
        <w:tc>
          <w:tcPr>
            <w:tcW w:w="1996" w:type="dxa"/>
            <w:tcBorders>
              <w:top w:val="outset" w:sz="6" w:space="0" w:color="000000"/>
              <w:start w:val="outset" w:sz="6" w:space="0" w:color="000000"/>
              <w:bottom w:val="outset" w:sz="6" w:space="0" w:color="000000"/>
              <w:end w:val="outset" w:sz="6" w:space="0" w:color="000000"/>
            </w:tcBorders>
            <w:shd w:color="auto" w:fill="CCCCFF" w:val="clear"/>
          </w:tcPr>
          <w:p>
            <w:pPr>
              <w:pStyle w:val="Normal"/>
              <w:spacing w:beforeAutospacing="1" w:afterAutospacing="1"/>
              <w:jc w:val="both"/>
              <w:rPr/>
            </w:pPr>
            <w:r>
              <w:rPr>
                <w:rFonts w:cs="Inter"/>
                <w:b/>
                <w:bCs/>
                <w:sz w:val="20"/>
                <w:szCs w:val="20"/>
              </w:rPr>
              <w:t>Annual</w:t>
            </w:r>
          </w:p>
          <w:p>
            <w:pPr>
              <w:pStyle w:val="Normal"/>
              <w:spacing w:beforeAutospacing="1" w:after="0"/>
              <w:jc w:val="both"/>
              <w:rPr/>
            </w:pPr>
            <w:r>
              <w:rPr>
                <w:rFonts w:cs="Inter"/>
                <w:b/>
                <w:bCs/>
                <w:sz w:val="20"/>
                <w:szCs w:val="20"/>
              </w:rPr>
              <w:t>Starting Salary</w:t>
            </w:r>
          </w:p>
        </w:tc>
        <w:tc>
          <w:tcPr>
            <w:tcW w:w="835" w:type="dxa"/>
            <w:tcBorders>
              <w:top w:val="outset" w:sz="6" w:space="0" w:color="000000"/>
              <w:start w:val="outset" w:sz="6" w:space="0" w:color="000000"/>
              <w:bottom w:val="outset" w:sz="6" w:space="0" w:color="000000"/>
              <w:end w:val="outset" w:sz="6" w:space="0" w:color="000000"/>
            </w:tcBorders>
            <w:shd w:color="auto" w:fill="CCCCFF" w:val="clear"/>
          </w:tcPr>
          <w:p>
            <w:pPr>
              <w:pStyle w:val="Normal"/>
              <w:spacing w:beforeAutospacing="1" w:after="0"/>
              <w:jc w:val="both"/>
              <w:rPr/>
            </w:pPr>
            <w:r>
              <w:rPr>
                <w:rFonts w:cs="Inter"/>
                <w:b/>
                <w:bCs/>
                <w:sz w:val="20"/>
                <w:szCs w:val="20"/>
              </w:rPr>
              <w:t>FEE</w:t>
            </w:r>
          </w:p>
        </w:tc>
        <w:tc>
          <w:tcPr>
            <w:tcW w:w="1998" w:type="dxa"/>
            <w:tcBorders>
              <w:top w:val="outset" w:sz="6" w:space="0" w:color="000000"/>
              <w:start w:val="outset" w:sz="6" w:space="0" w:color="000000"/>
              <w:bottom w:val="outset" w:sz="6" w:space="0" w:color="000000"/>
              <w:end w:val="outset" w:sz="6" w:space="0" w:color="000000"/>
            </w:tcBorders>
            <w:shd w:color="auto" w:fill="CCCCFF" w:val="clear"/>
          </w:tcPr>
          <w:p>
            <w:pPr>
              <w:pStyle w:val="Normal"/>
              <w:spacing w:beforeAutospacing="1" w:afterAutospacing="1"/>
              <w:jc w:val="both"/>
              <w:rPr/>
            </w:pPr>
            <w:r>
              <w:rPr>
                <w:rFonts w:cs="Inter"/>
                <w:b/>
                <w:bCs/>
                <w:sz w:val="20"/>
                <w:szCs w:val="20"/>
              </w:rPr>
              <w:t>Annual</w:t>
            </w:r>
          </w:p>
          <w:p>
            <w:pPr>
              <w:pStyle w:val="Normal"/>
              <w:spacing w:beforeAutospacing="1" w:after="0"/>
              <w:jc w:val="both"/>
              <w:rPr/>
            </w:pPr>
            <w:r>
              <w:rPr>
                <w:rFonts w:cs="Inter"/>
                <w:b/>
                <w:bCs/>
                <w:sz w:val="20"/>
                <w:szCs w:val="20"/>
              </w:rPr>
              <w:t>Starting Salary</w:t>
            </w:r>
          </w:p>
        </w:tc>
        <w:tc>
          <w:tcPr>
            <w:tcW w:w="849" w:type="dxa"/>
            <w:tcBorders>
              <w:top w:val="outset" w:sz="6" w:space="0" w:color="000000"/>
              <w:start w:val="outset" w:sz="6" w:space="0" w:color="000000"/>
              <w:bottom w:val="outset" w:sz="6" w:space="0" w:color="000000"/>
              <w:end w:val="outset" w:sz="6" w:space="0" w:color="000000"/>
            </w:tcBorders>
            <w:shd w:color="auto" w:fill="CCCCFF" w:val="clear"/>
          </w:tcPr>
          <w:p>
            <w:pPr>
              <w:pStyle w:val="Normal"/>
              <w:spacing w:beforeAutospacing="1" w:after="0"/>
              <w:jc w:val="both"/>
              <w:rPr/>
            </w:pPr>
            <w:r>
              <w:rPr>
                <w:rFonts w:cs="Inter"/>
                <w:b/>
                <w:bCs/>
                <w:sz w:val="20"/>
                <w:szCs w:val="20"/>
              </w:rPr>
              <w:t>FEE</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$ 1 to 10,000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10%</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$18,001 to 19,000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19%</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$27,001 to 28,000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28%</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$10,001 to 11,000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11%</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$19,001 to 20,000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20%</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$28,001 to 29,000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29%</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$11,001 to 12,000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12%</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$20,001 to 21,000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21%</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$29,001 to 30,000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30%</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$12,001 to 13,000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13%</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$21,001 to 22,000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22%</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$30,001 to 31,000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31%</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$13,001 to 14,000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14%</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$22,001 to 23,000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23%</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$31,001 to 32,000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32%</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$14,001 to 15,000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15%</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$23,001 to 24,000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24%</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$32,001 to 33,000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33%</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$15,001 to 16,000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16%</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$24,001 to 25,000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25%</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$33,001 to 34,000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34%</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$16,001 to 17,000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17%</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$25,001 to 26,000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26%</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$34,001 to 35,000</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35%</w:t>
            </w:r>
          </w:p>
        </w:tc>
      </w:tr>
      <w:tr>
        <w:trPr/>
        <w:tc>
          <w:tcPr>
            <w:tcW w:w="2101"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$17,001 to 18,000</w:t>
            </w:r>
          </w:p>
        </w:tc>
        <w:tc>
          <w:tcPr>
            <w:tcW w:w="837"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18%</w:t>
            </w:r>
          </w:p>
        </w:tc>
        <w:tc>
          <w:tcPr>
            <w:tcW w:w="1996"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$26,001 to 27,000</w:t>
            </w:r>
          </w:p>
        </w:tc>
        <w:tc>
          <w:tcPr>
            <w:tcW w:w="835"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27%</w:t>
            </w:r>
          </w:p>
        </w:tc>
        <w:tc>
          <w:tcPr>
            <w:tcW w:w="1998"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$35,001 &amp; above.</w:t>
            </w:r>
          </w:p>
        </w:tc>
        <w:tc>
          <w:tcPr>
            <w:tcW w:w="849" w:type="dxa"/>
            <w:tcBorders>
              <w:top w:val="outset" w:sz="6" w:space="0" w:color="000000"/>
              <w:start w:val="outset" w:sz="6" w:space="0" w:color="000000"/>
              <w:bottom w:val="outset" w:sz="6" w:space="0" w:color="000000"/>
              <w:end w:val="outset" w:sz="6" w:space="0" w:color="000000"/>
            </w:tcBorders>
          </w:tcPr>
          <w:p>
            <w:pPr>
              <w:pStyle w:val="Normal"/>
              <w:spacing w:beforeAutospacing="1" w:after="0"/>
              <w:jc w:val="both"/>
              <w:rPr/>
            </w:pPr>
            <w:r>
              <w:rPr>
                <w:rFonts w:cs="Inter"/>
                <w:sz w:val="20"/>
                <w:szCs w:val="20"/>
              </w:rPr>
              <w:t>35%</w:t>
            </w:r>
          </w:p>
        </w:tc>
      </w:tr>
    </w:tbl>
    <w:p>
      <w:pPr>
        <w:pStyle w:val="Normal"/>
        <w:spacing w:lineRule="auto" w:line="240" w:before="0" w:after="0"/>
        <w:rPr>
          <w:rFonts w:cs="Inter"/>
          <w:sz w:val="24"/>
          <w:szCs w:val="24"/>
        </w:rPr>
      </w:pPr>
      <w:r>
        <w:rPr>
          <w:rFonts w:cs="Inter"/>
          <w:sz w:val="24"/>
          <w:szCs w:val="24"/>
        </w:rPr>
      </w:r>
    </w:p>
    <w:p>
      <w:pPr>
        <w:pStyle w:val="Heading3"/>
        <w:spacing w:before="240" w:after="60"/>
        <w:jc w:val="both"/>
        <w:rPr>
          <w:rFonts w:ascii="Inter" w:hAnsi="Inter" w:eastAsia="Inter" w:cs="Inter" w:asciiTheme="minorHAnsi" w:eastAsiaTheme="minorHAnsi" w:hAnsiTheme="minorHAnsi"/>
          <w:b/>
          <w:color w:val="auto"/>
        </w:rPr>
      </w:pPr>
      <w:bookmarkStart w:id="1" w:name="_Toc37991967"/>
      <w:r>
        <w:rPr>
          <w:rFonts w:eastAsia="Inter" w:cs="Inter" w:eastAsiaTheme="minorHAnsi"/>
          <w:b/>
          <w:bCs/>
          <w:color w:val="auto"/>
        </w:rPr>
        <w:t>Direct Hire Terms</w:t>
      </w:r>
      <w:bookmarkEnd w:id="1"/>
      <w:r>
        <w:rPr>
          <w:rFonts w:eastAsia="Inter" w:cs="Inter" w:eastAsiaTheme="minorHAnsi"/>
          <w:b/>
          <w:bCs/>
          <w:color w:val="auto"/>
        </w:rPr>
        <w:t>:</w:t>
      </w:r>
    </w:p>
    <w:p>
      <w:pPr>
        <w:pStyle w:val="Normal"/>
        <w:spacing w:beforeAutospacing="1" w:afterAutospacing="1"/>
        <w:jc w:val="both"/>
        <w:rPr>
          <w:rFonts w:cs="Inter"/>
          <w:sz w:val="24"/>
          <w:szCs w:val="24"/>
        </w:rPr>
      </w:pPr>
      <w:r>
        <w:rPr>
          <w:rFonts w:cs="Inter"/>
          <w:sz w:val="24"/>
          <w:szCs w:val="24"/>
        </w:rPr>
        <w:t>Terms are all negotiable. Payment Terms are generally payable upon receipt of invoice, but will vary based on individual agreements with each client. For convenience, the fees are invoiced on the date of a candidates' acceptance of employment.</w:t>
      </w:r>
    </w:p>
    <w:p>
      <w:pPr>
        <w:pStyle w:val="Heading3"/>
        <w:spacing w:before="240" w:after="60"/>
        <w:jc w:val="both"/>
        <w:rPr>
          <w:rFonts w:ascii="Inter" w:hAnsi="Inter" w:eastAsia="Inter" w:cs="Inter" w:asciiTheme="minorHAnsi" w:eastAsiaTheme="minorHAnsi" w:hAnsiTheme="minorHAnsi"/>
          <w:b/>
          <w:color w:val="auto"/>
        </w:rPr>
      </w:pPr>
      <w:bookmarkStart w:id="2" w:name="_Toc37991968"/>
      <w:r>
        <w:rPr>
          <w:rFonts w:eastAsia="Inter" w:cs="Inter" w:eastAsiaTheme="minorHAnsi"/>
          <w:b/>
          <w:bCs/>
          <w:color w:val="auto"/>
        </w:rPr>
        <w:t>Direct Hire Referrals</w:t>
      </w:r>
      <w:bookmarkEnd w:id="2"/>
      <w:r>
        <w:rPr>
          <w:rFonts w:eastAsia="Inter" w:cs="Inter" w:eastAsiaTheme="minorHAnsi"/>
          <w:b/>
          <w:bCs/>
          <w:color w:val="auto"/>
        </w:rPr>
        <w:t>:</w:t>
      </w:r>
    </w:p>
    <w:p>
      <w:pPr>
        <w:pStyle w:val="Normal"/>
        <w:spacing w:beforeAutospacing="1" w:afterAutospacing="1"/>
        <w:jc w:val="both"/>
        <w:rPr>
          <w:rFonts w:cs="Inter"/>
          <w:sz w:val="24"/>
          <w:szCs w:val="24"/>
        </w:rPr>
      </w:pPr>
      <w:r>
        <w:rPr>
          <w:rFonts w:cs="Inter"/>
          <w:sz w:val="24"/>
          <w:szCs w:val="24"/>
        </w:rPr>
        <w:t>All referrals are made in confidence. If the client is in receipt of your fee schedule, or if a candidate has been referred and interviewed, the client is in acceptance of the terms and conditions of the fee schedule.</w:t>
      </w:r>
    </w:p>
    <w:p>
      <w:pPr>
        <w:pStyle w:val="Heading3"/>
        <w:spacing w:before="240" w:after="60"/>
        <w:jc w:val="both"/>
        <w:rPr>
          <w:rFonts w:ascii="Inter" w:hAnsi="Inter" w:eastAsia="Inter" w:cs="Inter" w:asciiTheme="minorHAnsi" w:eastAsiaTheme="minorHAnsi" w:hAnsiTheme="minorHAnsi"/>
          <w:b/>
          <w:color w:val="auto"/>
        </w:rPr>
      </w:pPr>
      <w:bookmarkStart w:id="3" w:name="_Toc37991969"/>
      <w:r>
        <w:rPr>
          <w:rFonts w:eastAsia="Inter" w:cs="Inter" w:eastAsiaTheme="minorHAnsi"/>
          <w:b/>
          <w:bCs/>
          <w:color w:val="auto"/>
        </w:rPr>
        <w:t>Example of a Direct Hire Guarantee</w:t>
      </w:r>
      <w:bookmarkEnd w:id="3"/>
      <w:r>
        <w:rPr>
          <w:rFonts w:eastAsia="Inter" w:cs="Inter" w:eastAsiaTheme="minorHAnsi"/>
          <w:b/>
          <w:bCs/>
          <w:color w:val="auto"/>
        </w:rPr>
        <w:t>:</w:t>
      </w:r>
    </w:p>
    <w:p>
      <w:pPr>
        <w:pStyle w:val="Normal"/>
        <w:spacing w:beforeAutospacing="1" w:afterAutospacing="1"/>
        <w:jc w:val="both"/>
        <w:rPr>
          <w:rFonts w:cs="Inter"/>
          <w:sz w:val="24"/>
          <w:szCs w:val="24"/>
        </w:rPr>
      </w:pPr>
      <w:r>
        <w:rPr>
          <w:rFonts w:cs="Inter"/>
          <w:sz w:val="24"/>
          <w:szCs w:val="24"/>
        </w:rPr>
        <w:t>The letter below is a sample guarantee within the fee agreement.</w:t>
      </w:r>
    </w:p>
    <w:p>
      <w:pPr>
        <w:pStyle w:val="Normal"/>
        <w:spacing w:beforeAutospacing="1" w:afterAutospacing="1"/>
        <w:jc w:val="both"/>
        <w:rPr>
          <w:rFonts w:cs="Inter"/>
          <w:sz w:val="24"/>
          <w:szCs w:val="24"/>
        </w:rPr>
      </w:pPr>
      <w:r>
        <w:rPr>
          <w:rFonts w:cs="Inter"/>
          <w:sz w:val="24"/>
          <w:szCs w:val="24"/>
        </w:rPr>
        <w:t>A six</w:t>
      </w:r>
      <w:bookmarkStart w:id="4" w:name="_GoBack"/>
      <w:bookmarkEnd w:id="4"/>
      <w:r>
        <w:rPr>
          <w:rFonts w:cs="Inter"/>
          <w:sz w:val="24"/>
          <w:szCs w:val="24"/>
        </w:rPr>
        <w:t>ty (60) calendar day pro-rated guarantee will be honored if the full fee is paid in full within (10) calendar days of the start date of candidate's employment. Payment received thereafter will be subject to a thirty (30) calendar day pro-rated guarantee. If for any reason, the candidate terminates employment within the applicable guarantee period, we will be given 60 days to find a suitable replacement for the employee with no additional charge. If a suitable candidate has not been found within 60 days you will receive a refund for the pro-rated portion of the fee paid, or issue a credit for such amount in the event agency does not provide a suitable replacement within (30) thirty days. The refund will be equal to 1/60th or 1/30th, as applicable, multiplied by the number of days remaining in the guarantee period as the last day of employment.</w:t>
      </w:r>
    </w:p>
    <w:p>
      <w:pPr>
        <w:pStyle w:val="Normal"/>
        <w:spacing w:beforeAutospacing="1" w:afterAutospacing="1"/>
        <w:jc w:val="both"/>
        <w:rPr>
          <w:rFonts w:cs="Inter"/>
          <w:sz w:val="24"/>
          <w:szCs w:val="24"/>
        </w:rPr>
      </w:pPr>
      <w:r>
        <w:rPr>
          <w:rFonts w:cs="Inter"/>
          <w:sz w:val="24"/>
          <w:szCs w:val="24"/>
        </w:rPr>
        <w:t>If any candidate referred by agency to the client is not hired, but within one (1) year from the initial referral date is referred by the client to another position, group, division, subsidiary, or unrelated company resulting in the candidate being hired, an invoice will be issued to the client for the placement fee.</w:t>
      </w:r>
    </w:p>
    <w:p>
      <w:pPr>
        <w:pStyle w:val="Normal"/>
        <w:rPr>
          <w:rFonts w:cs="Inter"/>
          <w:sz w:val="24"/>
          <w:szCs w:val="24"/>
        </w:rPr>
      </w:pPr>
      <w:r>
        <w:rPr>
          <w:rFonts w:cs="Inter"/>
          <w:sz w:val="24"/>
          <w:szCs w:val="24"/>
        </w:rPr>
        <w:t>The above guarantee shall not apply if the candidate’s employment is terminated due to a layoff for any reason, elimination of position, a substantial change in the job description or reporting structure, or a charge in the candidate’s compensation package. YOUR FIRM shall not be liable for any compensatory or other damages resulting from the employment of the candidate.</w:t>
      </w:r>
    </w:p>
    <w:p>
      <w:pPr>
        <w:pStyle w:val="Normal"/>
        <w:widowControl/>
        <w:bidi w:val="0"/>
        <w:spacing w:lineRule="auto" w:line="259" w:before="0" w:after="160"/>
        <w:jc w:val="start"/>
        <w:rPr/>
      </w:pPr>
      <w:r>
        <w:rPr/>
      </w:r>
    </w:p>
    <w:sectPr>
      <w:headerReference w:type="default" r:id="rId4"/>
      <w:headerReference w:type="first" r:id="rId14"/>
      <w:footerReference w:type="default" r:id="rId7"/>
      <w:type w:val="nextPage"/>
      <w:pgSz w:w="12240" w:h="15840"/>
      <w:pgMar w:left="810" w:right="630" w:gutter="0" w:header="620" w:top="1720" w:footer="560" w:bottom="144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320"/>
      <w:gridCol w:w="2160"/>
      <w:gridCol w:w="4320"/>
    </w:tblGrid>
    <w:tr>
      <w:tc>
        <w:tcPr>
          <w:tcW w:type="dxa" w:w="4320"/>
        </w:tcPr>
        <w:p>
          <w:r>
            <w:rPr>
              <w:rFonts w:ascii="Inter" w:hAnsi="Inter"/>
              <w:b/>
              <w:caps/>
              <w:color w:val="4A4F4C"/>
              <w:spacing w:val="20"/>
              <w:sz w:val="13"/>
            </w:rPr>
            <w:t>Back Office Staffing Solutions, LLC</w:t>
          </w:r>
        </w:p>
      </w:tc>
      <w:tc>
        <w:tcPr>
          <w:tcW w:type="dxa" w:w="2160"/>
        </w:tcPr>
        <w:p>
          <w:pPr>
            <w:jc w:val="center"/>
          </w:pPr>
          <w:r>
            <w:rPr>
              <w:rFonts w:ascii="Inter" w:hAnsi="Inter"/>
              <w:b/>
              <w:caps/>
              <w:color w:val="B58500"/>
              <w:spacing w:val="20"/>
              <w:sz w:val="13"/>
            </w:rPr>
            <w:t>Confidential</w:t>
          </w:r>
        </w:p>
      </w:tc>
      <w:tc>
        <w:tcPr>
          <w:tcW w:type="dxa" w:w="432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bidi w:val="0"/>
            <w:spacing w:lineRule="auto" w:line="259" w:before="0" w:after="16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16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16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7</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80"/>
      <w:gridCol w:w="7020"/>
    </w:tblGrid>
    <w:tr>
      <w:tc>
        <w:tcPr>
          <w:tcW w:type="dxa" w:w="3780"/>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7020"/>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bidi w:val="0"/>
            <w:spacing w:lineRule="auto" w:line="259" w:before="0" w:after="16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16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1080" w:hanging="360"/>
      </w:pPr>
      <w:rPr>
        <w:rFonts w:ascii="Symbol" w:hAnsi="Symbol" w:cs="Symbol"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8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styleId="Normal" w:default="1">
    <w:name w:val="Normal"/>
    <w:qFormat/>
    <w:rsid w:val="00ad5022"/>
    <w:pPr>
      <w:widowControl/>
      <w:bidi w:val="0"/>
      <w:spacing w:lineRule="auto" w:line="259" w:before="0" w:after="160"/>
      <w:jc w:val="start"/>
    </w:pPr>
    <w:rPr>
      <w:rFonts w:ascii="Inter" w:hAnsi="Inter" w:eastAsia="Inter" w:cs="" w:asciiTheme="minorHAnsi" w:cstheme="minorBidi" w:eastAsiaTheme="minorHAnsi" w:hAnsiTheme="minorHAnsi"/>
      <w:color w:val="auto"/>
      <w:kern w:val="0"/>
      <w:sz w:val="22"/>
      <w:szCs w:val="22"/>
      <w:lang w:val="en-US" w:eastAsia="en-US" w:bidi="ar-SA"/>
    </w:rPr>
  </w:style>
  <w:style w:type="paragraph" w:styleId="Heading2">
    <w:name w:val="Heading 2"/>
    <w:basedOn w:val="Normal"/>
    <w:link w:val="Heading2Char"/>
    <w:uiPriority w:val="9"/>
    <w:qFormat/>
    <w:rsid w:val="00b52417"/>
    <w:pPr>
      <w:spacing w:lineRule="auto" w:line="240" w:beforeAutospacing="1" w:afterAutospacing="1"/>
      <w:outlineLvl w:val="1"/>
    </w:pPr>
    <w:rPr>
      <w:rFonts w:ascii="Raleway SemiBold" w:hAnsi="Raleway SemiBold" w:eastAsia="Inter" w:cs="Inter"/>
      <w:b/>
      <w:bCs/>
      <w:sz w:val="36"/>
      <w:szCs w:val="36"/>
    </w:rPr>
  </w:style>
  <w:style w:type="paragraph" w:styleId="Heading3">
    <w:name w:val="Heading 3"/>
    <w:basedOn w:val="Normal"/>
    <w:next w:val="Normal"/>
    <w:link w:val="Heading3Char"/>
    <w:uiPriority w:val="9"/>
    <w:semiHidden/>
    <w:unhideWhenUsed/>
    <w:qFormat/>
    <w:rsid w:val="007537b9"/>
    <w:pPr>
      <w:keepNext w:val="true"/>
      <w:keepLines/>
      <w:spacing w:before="40" w:after="0"/>
      <w:outlineLvl w:val="2"/>
    </w:pPr>
    <w:rPr>
      <w:rFonts w:ascii="Inter" w:hAnsi="Inter" w:eastAsia="" w:cs="" w:asciiTheme="majorHAnsi" w:cstheme="majorBidi" w:eastAsiaTheme="majorEastAsia" w:hAnsiTheme="majorHAnsi"/>
      <w:color w:themeColor="accent1" w:themeShade="7f" w:val="1F4D78"/>
      <w:sz w:val="24"/>
      <w:szCs w:val="24"/>
    </w:rPr>
  </w:style>
  <w:style w:type="character" w:styleId="DefaultParagraphFont" w:default="1">
    <w:name w:val="Default Paragraph Font"/>
    <w:uiPriority w:val="1"/>
    <w:semiHidden/>
    <w:unhideWhenUsed/>
    <w:qFormat/>
    <w:rPr/>
  </w:style>
  <w:style w:type="character" w:styleId="FootnoteTextChar" w:customStyle="1">
    <w:name w:val="Footnote Text Char"/>
    <w:basedOn w:val="DefaultParagraphFont"/>
    <w:link w:val="FootnoteText"/>
    <w:uiPriority w:val="99"/>
    <w:qFormat/>
    <w:rsid w:val="00ad5022"/>
    <w:rPr>
      <w:rFonts w:eastAsia="" w:cs="Inter" w:eastAsiaTheme="minorEastAsia"/>
      <w:sz w:val="20"/>
      <w:szCs w:val="20"/>
    </w:rPr>
  </w:style>
  <w:style w:type="character" w:styleId="SubtleEmphasis">
    <w:name w:val="Subtle Emphasis"/>
    <w:basedOn w:val="DefaultParagraphFont"/>
    <w:uiPriority w:val="19"/>
    <w:qFormat/>
    <w:rsid w:val="00ad5022"/>
    <w:rPr>
      <w:i/>
      <w:iCs/>
    </w:rPr>
  </w:style>
  <w:style w:type="character" w:styleId="Heading2Char" w:customStyle="1">
    <w:name w:val="Heading 2 Char"/>
    <w:basedOn w:val="DefaultParagraphFont"/>
    <w:link w:val="Heading2"/>
    <w:uiPriority w:val="9"/>
    <w:qFormat/>
    <w:rsid w:val="00b52417"/>
    <w:rPr>
      <w:rFonts w:ascii="Inter" w:hAnsi="Inter" w:eastAsia="Inter" w:cs="Inter"/>
      <w:b/>
      <w:bCs/>
      <w:sz w:val="36"/>
      <w:szCs w:val="36"/>
    </w:rPr>
  </w:style>
  <w:style w:type="character" w:styleId="Heading3Char" w:customStyle="1">
    <w:name w:val="Heading 3 Char"/>
    <w:basedOn w:val="DefaultParagraphFont"/>
    <w:link w:val="Heading3"/>
    <w:uiPriority w:val="9"/>
    <w:semiHidden/>
    <w:qFormat/>
    <w:rsid w:val="007537b9"/>
    <w:rPr>
      <w:rFonts w:ascii="Inter" w:hAnsi="Inter" w:eastAsia="" w:cs="" w:asciiTheme="majorHAnsi" w:cstheme="majorBidi" w:eastAsiaTheme="majorEastAsia" w:hAnsiTheme="majorHAnsi"/>
      <w:color w:themeColor="accent1" w:themeShade="7f" w:val="1F4D78"/>
      <w:sz w:val="24"/>
      <w:szCs w:val="24"/>
    </w:rPr>
  </w:style>
  <w:style w:type="character" w:styleId="Hyperlink">
    <w:name w:val="Hyperlink"/>
    <w:basedOn w:val="DefaultParagraphFont"/>
    <w:uiPriority w:val="99"/>
    <w:semiHidden/>
    <w:unhideWhenUsed/>
    <w:rsid w:val="00762453"/>
    <w:rPr>
      <w:color w:val="0000FF"/>
      <w:u w:val="single"/>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DecimalAligned" w:customStyle="1">
    <w:name w:val="Decimal Aligned"/>
    <w:basedOn w:val="Normal"/>
    <w:uiPriority w:val="40"/>
    <w:qFormat/>
    <w:rsid w:val="00ad5022"/>
    <w:pPr>
      <w:tabs>
        <w:tab w:val="clear" w:pos="720"/>
        <w:tab w:val="decimal" w:pos="360" w:leader="none"/>
      </w:tabs>
      <w:spacing w:lineRule="auto" w:line="276" w:before="0" w:after="200"/>
    </w:pPr>
    <w:rPr>
      <w:rFonts w:eastAsia="" w:cs="Inter" w:eastAsiaTheme="minorEastAsia"/>
    </w:rPr>
  </w:style>
  <w:style w:type="paragraph" w:styleId="FootnoteText">
    <w:name w:val="Footnote Text"/>
    <w:basedOn w:val="Normal"/>
    <w:link w:val="FootnoteTextChar"/>
    <w:uiPriority w:val="99"/>
    <w:unhideWhenUsed/>
    <w:rsid w:val="00ad5022"/>
    <w:pPr>
      <w:spacing w:lineRule="auto" w:line="240" w:before="0" w:after="0"/>
    </w:pPr>
    <w:rPr>
      <w:rFonts w:eastAsia="" w:cs="Inter" w:eastAsiaTheme="minorEastAsia"/>
      <w:sz w:val="20"/>
      <w:szCs w:val="20"/>
    </w:rPr>
  </w:style>
  <w:style w:type="paragraph" w:styleId="ListParagraph">
    <w:name w:val="List Paragraph"/>
    <w:basedOn w:val="Normal"/>
    <w:uiPriority w:val="34"/>
    <w:qFormat/>
    <w:rsid w:val="00762453"/>
    <w:pPr>
      <w:spacing w:lineRule="auto" w:line="276" w:before="0" w:after="200"/>
      <w:ind w:start="720"/>
      <w:contextualSpacing/>
    </w:pPr>
    <w:rPr/>
  </w:style>
  <w:style w:type="paragraph" w:styleId="FrameContents">
    <w:name w:val="Frame Contents"/>
    <w:basedOn w:val="Normal"/>
    <w:qFormat/>
    <w:pPr/>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LightShading-Accent1">
    <w:name w:val="Light Shading Accent 1"/>
    <w:basedOn w:val="TableNormal"/>
    <w:uiPriority w:val="60"/>
    <w:rsid w:val="00ad5022"/>
    <w:pPr>
      <w:spacing w:after="0" w:line="240" w:lineRule="auto"/>
    </w:pPr>
    <w:rPr>
      <w:rFonts w:eastAsiaTheme="minorEastAsia"/>
      <w:color w:themeColor="accent1" w:themeShade="bf"/>
    </w:rPr>
    <w:tblPr>
      <w:tblStyleRowBandSize w:val="1"/>
      <w:tblStyleColBandSize w:val="1"/>
      <w:tblBorders>
        <w:top w:val="single" w:color="5B9BD5" w:themeColor="accent1" w:sz="8" w:space="0"/>
        <w:bottom w:val="single" w:color="5B9BD5"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stTable4-Accent5">
    <w:name w:val="List Table 4 Accent 5"/>
    <w:basedOn w:val="TableNormal"/>
    <w:uiPriority w:val="49"/>
    <w:rsid w:val="00fd2a88"/>
    <w:pPr>
      <w:spacing w:after="0" w:line="240" w:lineRule="auto"/>
    </w:pPr>
    <w:tblPr>
      <w:tblStyleRowBandSize w:val="1"/>
      <w:tblStyleColBandSize w:val="1"/>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CellMar>
        <w:top w:w="0" w:type="dxa"/>
        <w:left w:w="108" w:type="dxa"/>
        <w:bottom w:w="0" w:type="dxa"/>
        <w:right w:w="108" w:type="dxa"/>
      </w:tblCellMar>
    </w:tblPr>
    <w:tblStylePr w:type="firstRow">
      <w:rPr>
        <w:b/>
        <w:bCs/>
        <w:color w:themeColor="background1"/>
      </w:rPr>
      <w:tbl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blPr/>
      <w:tcPr>
        <w:tcBorders>
          <w:top w:val="double" w:color="8EAADB" w:themeColor="accent5" w:sz="4" w:space="0"/>
        </w:tcBorders>
      </w:tcPr>
    </w:tblStylePr>
    <w:tblStylePr w:type="firstCol">
      <w:rPr>
        <w:b/>
        <w:bCs/>
      </w:rPr>
      <w:tblPr/>
    </w:tblStylePr>
    <w:tblStylePr w:type="lastCol">
      <w:rPr>
        <w:b/>
        <w:bCs/>
      </w:rPr>
      <w:tbl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skillsurvey.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image" Target="media/image1.png"/><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130</TotalTime>
  <Application>LibreOffice/24.2.7.2$Linux_X86_64 LibreOffice_project/420$Build-2</Application>
  <AppVersion>15.0000</AppVersion>
  <Pages>5</Pages>
  <Words>1473</Words>
  <Characters>8401</Characters>
  <CharactersWithSpaces>9855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2014-01-23T13:39:00Z</dcterms:created>
  <dc:creator>Dee Williams</dc:creator>
  <dc:description/>
  <dc:language>en-US</dc:language>
  <cp:lastModifiedBy>Dee Williams</cp:lastModifiedBy>
  <dcterms:modified xsi:type="dcterms:W3CDTF">2016-07-19T01:21:00Z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