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jc w:val="center"/>
        <w:rPr>
          <w:b/>
          <w:sz w:val="28"/>
        </w:rPr>
      </w:pPr>
      <w:r>
        <w:rPr>
          <w:b/>
          <w:sz w:val="28"/>
        </w:rPr>
        <w:t>Temp-to-Perm Conversion Fee Schedule</w:t>
      </w:r>
    </w:p>
    <w:p>
      <w:pPr>
        <w:pStyle w:val="Normal"/>
        <w:jc w:val="center"/>
        <w:rPr>
          <w:b/>
          <w:sz w:val="28"/>
        </w:rPr>
      </w:pPr>
      <w:r>
        <w:rPr>
          <w:b/>
          <w:sz w:val="28"/>
        </w:rPr>
        <w:t>Contract-to-Hire Conversion Fee Schedule</w:t>
      </w:r>
    </w:p>
    <w:p>
      <w:pPr>
        <w:pStyle w:val="Normal"/>
        <w:rPr/>
      </w:pPr>
      <w:r>
        <w:rPr/>
        <w:t xml:space="preserve"> </w:t>
      </w:r>
    </w:p>
    <w:p>
      <w:pPr>
        <w:pStyle w:val="Normal"/>
        <w:rPr/>
      </w:pPr>
      <w:r>
        <w:rPr/>
        <w:t xml:space="preserve">If Client, its parents, subsidiaries or affiliates hire a YOUR FIRMS NAME contractor as an employee, continue to receive services as a contractor or 1099 independent contractor, or in any way continue to receive services from contractor outside the scope of the signed and approved Client Services Agreement, the following permanent conversion fee would apply: </w:t>
      </w:r>
    </w:p>
    <w:p>
      <w:pPr>
        <w:pStyle w:val="Normal"/>
        <w:rPr/>
      </w:pPr>
      <w:r>
        <w:rPr>
          <w:b/>
        </w:rPr>
        <w:t>Time Worked on Contract</w:t>
      </w:r>
      <w:r>
        <w:rPr/>
        <w:t xml:space="preserve"> </w:t>
        <w:tab/>
        <w:tab/>
        <w:tab/>
      </w:r>
      <w:r>
        <w:rPr>
          <w:b/>
        </w:rPr>
        <w:t>Conversion Fee Percentage Due</w:t>
      </w:r>
      <w:r>
        <w:rPr/>
        <w:t xml:space="preserve"> </w:t>
      </w:r>
    </w:p>
    <w:p>
      <w:pPr>
        <w:pStyle w:val="Normal"/>
        <w:spacing w:lineRule="auto" w:line="240" w:before="0" w:after="0"/>
        <w:rPr/>
      </w:pPr>
      <w:r>
        <w:rPr/>
        <w:t>0 – 90 days</w:t>
        <w:tab/>
        <w:tab/>
        <w:tab/>
        <w:tab/>
        <w:tab/>
        <w:t xml:space="preserve">20% </w:t>
      </w:r>
    </w:p>
    <w:p>
      <w:pPr>
        <w:pStyle w:val="Normal"/>
        <w:spacing w:lineRule="auto" w:line="240" w:before="0" w:after="0"/>
        <w:rPr/>
      </w:pPr>
      <w:r>
        <w:rPr/>
        <w:t xml:space="preserve">91 – 120 days </w:t>
        <w:tab/>
        <w:tab/>
        <w:tab/>
        <w:tab/>
        <w:tab/>
        <w:t xml:space="preserve">17.5% </w:t>
      </w:r>
    </w:p>
    <w:p>
      <w:pPr>
        <w:pStyle w:val="Normal"/>
        <w:spacing w:lineRule="auto" w:line="240" w:before="0" w:after="0"/>
        <w:rPr/>
      </w:pPr>
      <w:r>
        <w:rPr/>
        <w:t xml:space="preserve">121 – 150 days </w:t>
        <w:tab/>
        <w:tab/>
        <w:tab/>
        <w:tab/>
        <w:tab/>
        <w:t xml:space="preserve">15% </w:t>
      </w:r>
    </w:p>
    <w:p>
      <w:pPr>
        <w:pStyle w:val="Normal"/>
        <w:spacing w:lineRule="auto" w:line="240" w:before="0" w:after="0"/>
        <w:rPr/>
      </w:pPr>
      <w:r>
        <w:rPr/>
        <w:t xml:space="preserve">151 – 180 days </w:t>
        <w:tab/>
        <w:tab/>
        <w:tab/>
        <w:tab/>
        <w:tab/>
        <w:t xml:space="preserve">12.5% </w:t>
      </w:r>
    </w:p>
    <w:p>
      <w:pPr>
        <w:pStyle w:val="Normal"/>
        <w:spacing w:lineRule="auto" w:line="240" w:before="0" w:after="0"/>
        <w:rPr/>
      </w:pPr>
      <w:r>
        <w:rPr/>
        <w:t xml:space="preserve">181 – 210 days </w:t>
        <w:tab/>
        <w:tab/>
        <w:tab/>
        <w:tab/>
        <w:tab/>
        <w:t xml:space="preserve">10% </w:t>
      </w:r>
    </w:p>
    <w:p>
      <w:pPr>
        <w:pStyle w:val="Normal"/>
        <w:spacing w:lineRule="auto" w:line="240" w:before="0" w:after="0"/>
        <w:rPr/>
      </w:pPr>
      <w:r>
        <w:rPr/>
        <w:t xml:space="preserve">211 – 241 days </w:t>
        <w:tab/>
        <w:tab/>
        <w:tab/>
        <w:tab/>
        <w:tab/>
        <w:t xml:space="preserve">9% </w:t>
      </w:r>
    </w:p>
    <w:p>
      <w:pPr>
        <w:pStyle w:val="Normal"/>
        <w:spacing w:lineRule="auto" w:line="240" w:before="0" w:after="0"/>
        <w:rPr/>
      </w:pPr>
      <w:r>
        <w:rPr/>
        <w:t>242 – 272 days</w:t>
        <w:tab/>
        <w:tab/>
        <w:tab/>
        <w:tab/>
        <w:tab/>
        <w:t xml:space="preserve">8% </w:t>
      </w:r>
    </w:p>
    <w:p>
      <w:pPr>
        <w:pStyle w:val="Normal"/>
        <w:spacing w:lineRule="auto" w:line="240" w:before="0" w:after="0"/>
        <w:rPr/>
      </w:pPr>
      <w:r>
        <w:rPr/>
        <w:t>273 – 303 days</w:t>
        <w:tab/>
        <w:tab/>
        <w:tab/>
        <w:tab/>
        <w:tab/>
        <w:t xml:space="preserve">7% </w:t>
      </w:r>
    </w:p>
    <w:p>
      <w:pPr>
        <w:pStyle w:val="Normal"/>
        <w:spacing w:lineRule="auto" w:line="240" w:before="0" w:after="0"/>
        <w:rPr/>
      </w:pPr>
      <w:r>
        <w:rPr/>
        <w:t xml:space="preserve">304 – 334 days </w:t>
        <w:tab/>
        <w:tab/>
        <w:tab/>
        <w:tab/>
        <w:tab/>
        <w:t xml:space="preserve">6% </w:t>
      </w:r>
    </w:p>
    <w:p>
      <w:pPr>
        <w:pStyle w:val="Normal"/>
        <w:spacing w:lineRule="auto" w:line="240" w:before="0" w:after="0"/>
        <w:rPr/>
      </w:pPr>
      <w:r>
        <w:rPr/>
        <w:t xml:space="preserve">335 – 365 days </w:t>
        <w:tab/>
        <w:tab/>
        <w:tab/>
        <w:tab/>
        <w:tab/>
        <w:t xml:space="preserve">5% </w:t>
      </w:r>
    </w:p>
    <w:p>
      <w:pPr>
        <w:pStyle w:val="Normal"/>
        <w:spacing w:lineRule="auto" w:line="240" w:before="0" w:after="0"/>
        <w:rPr/>
      </w:pPr>
      <w:r>
        <w:rPr/>
        <w:t xml:space="preserve">After 365 days </w:t>
        <w:tab/>
        <w:tab/>
        <w:tab/>
        <w:tab/>
        <w:tab/>
        <w:t xml:space="preserve">No Fee Due </w:t>
      </w:r>
    </w:p>
    <w:p>
      <w:pPr>
        <w:pStyle w:val="Normal"/>
        <w:rPr/>
      </w:pPr>
      <w:r>
        <w:rPr/>
        <w:t xml:space="preserve"> </w:t>
      </w:r>
      <w:bookmarkStart w:id="0" w:name="_GoBack"/>
      <w:bookmarkEnd w:id="0"/>
    </w:p>
    <w:p>
      <w:pPr>
        <w:pStyle w:val="Normal"/>
        <w:rPr/>
      </w:pPr>
      <w:r>
        <w:rPr/>
        <w:t xml:space="preserve"> </w:t>
      </w:r>
      <w:r>
        <w:rPr/>
        <w:t xml:space="preserve">To begin the process of finding your next rock star contractor, for general contract placement inquiries, questions about YOUR FIRMS NAME’s Conversion Fee or for any other inquiries about our Staffing Services please email or call us today. We look forward to serving you and your unique staffing demands: </w:t>
      </w:r>
    </w:p>
    <w:p>
      <w:pPr>
        <w:pStyle w:val="Normal"/>
        <w:spacing w:before="0" w:after="160"/>
        <w:jc w:val="center"/>
        <w:rPr>
          <w:b/>
        </w:rPr>
      </w:pPr>
      <w:r>
        <w:rPr>
          <w:b/>
        </w:rPr>
        <w:t>We are always available to speak directly with YOU!</w:t>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LibreOffice/24.2.7.2$Linux_X86_64 LibreOffice_project/420$Build-2</Application>
  <AppVersion>15.0000</AppVersion>
  <Pages>1</Pages>
  <Words>169</Words>
  <Characters>967</Characters>
  <CharactersWithSpaces>1134</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2014-01-23T16:45:00Z</dcterms:created>
  <dc:creator>Dee Williams</dc:creator>
  <dc:description/>
  <dc:language>en-US</dc:language>
  <cp:lastModifiedBy>Dee Williams</cp:lastModifiedBy>
  <dcterms:modified xsi:type="dcterms:W3CDTF">2015-03-27T15:41:00Z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